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290"/>
        </w:tabs>
        <w:snapToGrid w:val="0"/>
        <w:jc w:val="center"/>
        <w:rPr>
          <w:rFonts w:hint="eastAsia" w:ascii="黑体" w:hAnsi="黑体" w:eastAsia="黑体"/>
          <w:sz w:val="44"/>
          <w:szCs w:val="44"/>
        </w:rPr>
      </w:pPr>
      <w:bookmarkStart w:id="0" w:name="部门决算报表填报说明（基层单位编写格式）"/>
    </w:p>
    <w:p>
      <w:pPr>
        <w:snapToGrid w:val="0"/>
        <w:jc w:val="center"/>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21</w:t>
      </w:r>
      <w:r>
        <w:rPr>
          <w:rFonts w:hint="eastAsia" w:ascii="黑体" w:hAnsi="黑体" w:eastAsia="黑体"/>
          <w:sz w:val="44"/>
          <w:szCs w:val="44"/>
        </w:rPr>
        <w:t>年度部门决算报表填报说明</w:t>
      </w:r>
    </w:p>
    <w:bookmarkEnd w:id="0"/>
    <w:p>
      <w:pPr>
        <w:snapToGrid w:val="0"/>
        <w:rPr>
          <w:rFonts w:hint="eastAsia" w:ascii="仿宋" w:hAnsi="仿宋" w:eastAsia="仿宋"/>
          <w:sz w:val="44"/>
          <w:szCs w:val="44"/>
        </w:rPr>
      </w:pPr>
    </w:p>
    <w:p>
      <w:pPr>
        <w:snapToGrid w:val="0"/>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sz w:val="24"/>
          <w:szCs w:val="24"/>
        </w:rPr>
      </w:pPr>
      <w:r>
        <w:rPr>
          <w:rFonts w:hint="eastAsia" w:ascii="黑体" w:hAnsi="黑体" w:eastAsia="黑体"/>
          <w:sz w:val="24"/>
          <w:szCs w:val="24"/>
        </w:rPr>
        <w:t>一、决算信息来源说明</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本套决算依据本单位登记完整、核对无误的账簿记录和其他有关会计核算资料编制，账证相符、账实相符、账表相符、表表相符，真实、准确、完整地反映了本单位预算执行结果和财务状况。</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（一）本套决算主表决算数据主要依据本单位会计账簿总账及明细账数据填列，预算数据依据本单位预、决算批复文件及预算调整文件填列。</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二）本套决算附表数据主要依据本单位资产、人事台账及相关统计资料填列，其中：“资产情况表”“国有资产收益征缴情况表”依据本单位资产相关会计账簿数据、固定资产管理系统相关数据及有关统计资料填列；“基本数据表”“机构人员情况表”依据本单位人事台账相关资料填列；“非税收入征缴情况表”依据本单位非税收入台账及相关统计资料填列。</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sz w:val="24"/>
          <w:szCs w:val="24"/>
        </w:rPr>
      </w:pPr>
      <w:r>
        <w:rPr>
          <w:rFonts w:hint="eastAsia" w:ascii="黑体" w:hAnsi="黑体" w:eastAsia="黑体"/>
          <w:sz w:val="24"/>
          <w:szCs w:val="24"/>
        </w:rPr>
        <w:t>二、决算编制基本情况</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本单位为</w:t>
      </w:r>
      <w:r>
        <w:rPr>
          <w:rFonts w:hint="eastAsia" w:ascii="仿宋" w:hAnsi="仿宋" w:eastAsia="仿宋"/>
          <w:sz w:val="24"/>
          <w:szCs w:val="24"/>
          <w:u w:val="single"/>
          <w:lang w:val="en-US" w:eastAsia="zh-CN"/>
        </w:rPr>
        <w:t>广河县买家巷镇卫生院</w:t>
      </w:r>
      <w:r>
        <w:rPr>
          <w:rFonts w:hint="eastAsia" w:ascii="仿宋" w:hAnsi="仿宋" w:eastAsia="仿宋"/>
          <w:sz w:val="24"/>
          <w:szCs w:val="24"/>
          <w:u w:val="single"/>
        </w:rPr>
        <w:t xml:space="preserve"> </w:t>
      </w:r>
      <w:r>
        <w:rPr>
          <w:rFonts w:hint="eastAsia" w:ascii="仿宋" w:hAnsi="仿宋" w:eastAsia="仿宋"/>
          <w:sz w:val="24"/>
          <w:szCs w:val="24"/>
        </w:rPr>
        <w:t>（填列一级预算单位名称）所属</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2</w:t>
      </w:r>
      <w:r>
        <w:rPr>
          <w:rFonts w:hint="eastAsia" w:ascii="仿宋" w:hAnsi="仿宋" w:eastAsia="仿宋"/>
          <w:sz w:val="24"/>
          <w:szCs w:val="24"/>
          <w:u w:val="single"/>
        </w:rPr>
        <w:t xml:space="preserve">   </w:t>
      </w:r>
      <w:r>
        <w:rPr>
          <w:rFonts w:hint="eastAsia" w:ascii="仿宋" w:hAnsi="仿宋" w:eastAsia="仿宋"/>
          <w:sz w:val="24"/>
          <w:szCs w:val="24"/>
        </w:rPr>
        <w:t>级（按封面“单位预算级次”填列）预算单位，单位性质为</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事业</w:t>
      </w:r>
      <w:r>
        <w:rPr>
          <w:rFonts w:hint="eastAsia" w:ascii="仿宋" w:hAnsi="仿宋" w:eastAsia="仿宋"/>
          <w:sz w:val="24"/>
          <w:szCs w:val="24"/>
          <w:u w:val="single"/>
        </w:rPr>
        <w:t xml:space="preserve">  </w:t>
      </w:r>
      <w:r>
        <w:rPr>
          <w:rFonts w:hint="eastAsia" w:ascii="仿宋" w:hAnsi="仿宋" w:eastAsia="仿宋"/>
          <w:sz w:val="24"/>
          <w:szCs w:val="24"/>
        </w:rPr>
        <w:t>单位（按封面“单位基本性质”填列），决算编报类型为</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单户</w:t>
      </w:r>
      <w:r>
        <w:rPr>
          <w:rFonts w:hint="eastAsia" w:ascii="仿宋" w:hAnsi="仿宋" w:eastAsia="仿宋"/>
          <w:sz w:val="24"/>
          <w:szCs w:val="24"/>
          <w:u w:val="single"/>
        </w:rPr>
        <w:t xml:space="preserve">  </w:t>
      </w:r>
      <w:r>
        <w:rPr>
          <w:rFonts w:hint="eastAsia" w:ascii="仿宋" w:hAnsi="仿宋" w:eastAsia="仿宋"/>
          <w:sz w:val="24"/>
          <w:szCs w:val="24"/>
        </w:rPr>
        <w:t>（按封面“报表类型”填列），按照</w:t>
      </w:r>
      <w:r>
        <w:rPr>
          <w:rFonts w:hint="eastAsia" w:ascii="仿宋" w:hAnsi="仿宋" w:eastAsia="仿宋"/>
          <w:sz w:val="24"/>
          <w:szCs w:val="24"/>
          <w:u w:val="single"/>
        </w:rPr>
        <w:t xml:space="preserve"> </w:t>
      </w:r>
      <w:r>
        <w:rPr>
          <w:rFonts w:hint="eastAsia" w:ascii="仿宋" w:hAnsi="仿宋" w:eastAsia="仿宋"/>
          <w:sz w:val="24"/>
          <w:szCs w:val="24"/>
          <w:u w:val="single"/>
          <w:lang w:eastAsia="zh-CN"/>
        </w:rPr>
        <w:t>基层医疗卫生机构</w:t>
      </w:r>
      <w:r>
        <w:rPr>
          <w:rFonts w:hint="eastAsia" w:ascii="仿宋" w:hAnsi="仿宋" w:eastAsia="仿宋"/>
          <w:sz w:val="24"/>
          <w:szCs w:val="24"/>
          <w:u w:val="single"/>
        </w:rPr>
        <w:t xml:space="preserve">  </w:t>
      </w:r>
      <w:r>
        <w:rPr>
          <w:rFonts w:hint="eastAsia" w:ascii="仿宋" w:hAnsi="仿宋" w:eastAsia="仿宋"/>
          <w:sz w:val="24"/>
          <w:szCs w:val="24"/>
        </w:rPr>
        <w:t>会计制度填报决算数据（按封面“单位执行会计制度”填列）。</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纳入本套决算编制范围的独立核算单位共</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w:t>
      </w:r>
      <w:r>
        <w:rPr>
          <w:rFonts w:hint="eastAsia" w:ascii="仿宋" w:hAnsi="仿宋" w:eastAsia="仿宋"/>
          <w:sz w:val="24"/>
          <w:szCs w:val="24"/>
          <w:u w:val="single"/>
        </w:rPr>
        <w:t xml:space="preserve">  </w:t>
      </w:r>
      <w:r>
        <w:rPr>
          <w:rFonts w:hint="eastAsia" w:ascii="仿宋" w:hAnsi="仿宋" w:eastAsia="仿宋"/>
          <w:sz w:val="24"/>
          <w:szCs w:val="24"/>
        </w:rPr>
        <w:t>个，比上年增减</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个，分别是</w:t>
      </w:r>
      <w:r>
        <w:rPr>
          <w:rFonts w:hint="eastAsia" w:ascii="仿宋" w:hAnsi="仿宋" w:eastAsia="仿宋"/>
          <w:sz w:val="24"/>
          <w:szCs w:val="24"/>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（如有，可附表反映本套决算包含编制单位清单，包括单位名称和性质）。</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黑体" w:hAnsi="黑体" w:eastAsia="黑体"/>
          <w:sz w:val="24"/>
          <w:szCs w:val="24"/>
        </w:rPr>
      </w:pPr>
      <w:r>
        <w:rPr>
          <w:rFonts w:hint="eastAsia" w:ascii="黑体" w:hAnsi="黑体" w:eastAsia="黑体"/>
          <w:sz w:val="24"/>
          <w:szCs w:val="24"/>
        </w:rPr>
        <w:t>三、基础数据核对情况</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（一）财政资金对账情况。</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1．财政拨款核对情况。</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（1）单位本年度实际收到的一般公共预算财政拨款收入</w:t>
      </w:r>
      <w:r>
        <w:rPr>
          <w:rFonts w:hint="eastAsia" w:ascii="仿宋" w:hAnsi="仿宋" w:eastAsia="仿宋"/>
          <w:sz w:val="24"/>
          <w:szCs w:val="24"/>
          <w:u w:val="single"/>
          <w:lang w:val="en-US" w:eastAsia="zh-CN"/>
        </w:rPr>
        <w:t>421.945167</w:t>
      </w:r>
      <w:r>
        <w:rPr>
          <w:rFonts w:hint="eastAsia" w:ascii="仿宋" w:hAnsi="仿宋" w:eastAsia="仿宋"/>
          <w:sz w:val="24"/>
          <w:szCs w:val="24"/>
          <w:u w:val="single"/>
        </w:rPr>
        <w:t xml:space="preserve"> </w:t>
      </w:r>
      <w:r>
        <w:rPr>
          <w:rFonts w:hint="eastAsia" w:ascii="仿宋" w:hAnsi="仿宋" w:eastAsia="仿宋"/>
          <w:sz w:val="24"/>
          <w:szCs w:val="24"/>
        </w:rPr>
        <w:t>万元，财政部门拨款对账单</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421.956167</w:t>
      </w:r>
      <w:r>
        <w:rPr>
          <w:rFonts w:hint="eastAsia" w:ascii="仿宋" w:hAnsi="仿宋" w:eastAsia="仿宋"/>
          <w:sz w:val="24"/>
          <w:szCs w:val="24"/>
          <w:u w:val="single"/>
        </w:rPr>
        <w:t xml:space="preserve"> </w:t>
      </w:r>
      <w:r>
        <w:rPr>
          <w:rFonts w:hint="eastAsia" w:ascii="仿宋" w:hAnsi="仿宋" w:eastAsia="仿宋"/>
          <w:sz w:val="24"/>
          <w:szCs w:val="24"/>
        </w:rPr>
        <w:t>万元，差额</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万元。对差额原因进行说明。</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（2）单位本年度政府性基金预算财政拨款收入</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万元，财政部门拨款对账单</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万元，差额</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万元。对差额原因进行说明。</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2．财政专户管理资金核对情况。</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（1）单位本年度缴入财政专户</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万元，财政部门财政专户缴款对账单</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万元，差额</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万元。对差额原因进行说明。</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（2）单位本年度财政专户管理资金收入</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万元，财政部门财政专户拨款对账单</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万元，差额</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0</w:t>
      </w:r>
      <w:r>
        <w:rPr>
          <w:rFonts w:hint="eastAsia" w:ascii="仿宋" w:hAnsi="仿宋" w:eastAsia="仿宋"/>
          <w:sz w:val="24"/>
          <w:szCs w:val="24"/>
          <w:u w:val="single"/>
        </w:rPr>
        <w:t xml:space="preserve"> </w:t>
      </w:r>
      <w:r>
        <w:rPr>
          <w:rFonts w:hint="eastAsia" w:ascii="仿宋" w:hAnsi="仿宋" w:eastAsia="仿宋"/>
          <w:sz w:val="24"/>
          <w:szCs w:val="24"/>
        </w:rPr>
        <w:t>万元。对差额原因进行说明。</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3．其他需要说明的情况。</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（二）与上年指标核对情况。</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1．全口径、一般公共预算财政拨款、政府性基金预算财政拨款和财政专户管理资金的结转和结余资金本年年初数与上年年末数不一致的情况说明（附表1），包括财政收回、审计调整、归集调入或上缴、单位内部调剂等情况。</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 w:hAnsi="仿宋" w:eastAsia="仿宋"/>
          <w:sz w:val="24"/>
          <w:szCs w:val="24"/>
        </w:rPr>
      </w:pPr>
    </w:p>
    <w:tbl>
      <w:tblPr>
        <w:tblW w:w="14235" w:type="dxa"/>
        <w:tblInd w:w="0" w:type="dxa"/>
        <w:shd w:val="clear"/>
        <w:tblLayout w:type="autofit"/>
        <w:tblCellMar>
          <w:top w:w="0" w:type="dxa"/>
          <w:left w:w="0" w:type="dxa"/>
          <w:bottom w:w="0" w:type="dxa"/>
          <w:right w:w="0" w:type="dxa"/>
        </w:tblCellMar>
      </w:tblPr>
      <w:tblGrid>
        <w:gridCol w:w="2492"/>
        <w:gridCol w:w="295"/>
        <w:gridCol w:w="826"/>
        <w:gridCol w:w="826"/>
        <w:gridCol w:w="827"/>
        <w:gridCol w:w="2022"/>
        <w:gridCol w:w="296"/>
        <w:gridCol w:w="827"/>
        <w:gridCol w:w="827"/>
        <w:gridCol w:w="827"/>
        <w:gridCol w:w="1756"/>
        <w:gridCol w:w="296"/>
        <w:gridCol w:w="827"/>
        <w:gridCol w:w="827"/>
        <w:gridCol w:w="899"/>
      </w:tblGrid>
      <w:tr>
        <w:tblPrEx>
          <w:tblCellMar>
            <w:top w:w="0" w:type="dxa"/>
            <w:left w:w="0" w:type="dxa"/>
            <w:bottom w:w="0" w:type="dxa"/>
            <w:right w:w="0" w:type="dxa"/>
          </w:tblCellMar>
        </w:tblPrEx>
        <w:trPr>
          <w:trHeight w:val="540" w:hRule="atLeast"/>
        </w:trPr>
        <w:tc>
          <w:tcPr>
            <w:tcW w:w="14235" w:type="dxa"/>
            <w:gridSpan w:val="15"/>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bdr w:val="none" w:color="auto" w:sz="0" w:space="0"/>
                <w:lang w:val="en-US" w:eastAsia="zh-CN" w:bidi="ar"/>
              </w:rPr>
              <w:t>收入支出决算总表</w:t>
            </w:r>
          </w:p>
        </w:tc>
      </w:tr>
      <w:tr>
        <w:tblPrEx>
          <w:shd w:val="clear"/>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财决01表</w:t>
            </w:r>
          </w:p>
        </w:tc>
      </w:tr>
      <w:tr>
        <w:tblPrEx>
          <w:shd w:val="clear"/>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编制单位：临夏州广河县买家巷卫生院</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2021年度</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收入</w:t>
            </w:r>
          </w:p>
        </w:tc>
        <w:tc>
          <w:tcPr>
            <w:tcW w:w="0" w:type="auto"/>
            <w:gridSpan w:val="10"/>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支出</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年初预算数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调整预算数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项目(按功能分类)</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年初预算数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调整预算数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项目(按支出性质和经济分类)</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年初预算数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调整预算数</w:t>
            </w:r>
          </w:p>
        </w:tc>
        <w:tc>
          <w:tcPr>
            <w:tcW w:w="0" w:type="auto"/>
            <w:tcBorders>
              <w:top w:val="nil"/>
              <w:left w:val="nil"/>
              <w:bottom w:val="single" w:color="000000" w:sz="4" w:space="0"/>
              <w:right w:val="single" w:color="000000" w:sz="8"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8"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1,743,412.00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4,219,451.67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4,219,451.67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一、基本支出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1,809,893.40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6,880,965.67</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6,880,965.67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133,685.00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133,685.00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人员经费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1,743,412.00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2,707,485.94</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2,707,485.94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公用经费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66,481.40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4,173,479.73</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4,173,479.73</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二、项目支出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2,605,298.08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2,605,298.08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其中：基本建设类项目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三、上缴上级支出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四、经营支出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255,282.69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255,282.69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五、对附属单位补助支出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1,809,893.40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6,491,997.98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6,491,997.98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经济分类支出合计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6,880,965.67</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一、工资福利支出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2,393,400.94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二、商品和服务支出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3,928,449.73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三、对个人和家庭的补助</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314,085.00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四、债务利息及费用支出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五、资本性支出（基本建设）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六、资本性支出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245,030.00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七、对企业补助（基本建设）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八、对企业补助</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九、对社会保障基金补助</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133,685.00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133,685.00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1,743,412.00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6,958,434.75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6,958,434.75</w:t>
            </w:r>
          </w:p>
        </w:tc>
        <w:tc>
          <w:tcPr>
            <w:tcW w:w="0" w:type="auto"/>
            <w:gridSpan w:val="6"/>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1,809,893.40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6,880,965.67</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6,880,965.67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使用非财政拨款结余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gridSpan w:val="6"/>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结余分配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年初结转和结余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66,481.40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66,481.40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66,481.40</w:t>
            </w:r>
          </w:p>
        </w:tc>
        <w:tc>
          <w:tcPr>
            <w:tcW w:w="0" w:type="auto"/>
            <w:gridSpan w:val="6"/>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143,950.48</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143,950.48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gridSpan w:val="6"/>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1,809,893.40</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7,024,916.15</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7,024,916.15</w:t>
            </w:r>
          </w:p>
        </w:tc>
        <w:tc>
          <w:tcPr>
            <w:tcW w:w="0" w:type="auto"/>
            <w:gridSpan w:val="6"/>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1,809,893.40</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7,024,916.15</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7,024,916.15</w:t>
            </w:r>
          </w:p>
        </w:tc>
      </w:tr>
      <w:tr>
        <w:tblPrEx>
          <w:tblCellMar>
            <w:top w:w="0" w:type="dxa"/>
            <w:left w:w="0" w:type="dxa"/>
            <w:bottom w:w="0" w:type="dxa"/>
            <w:right w:w="0" w:type="dxa"/>
          </w:tblCellMar>
        </w:tblPrEx>
        <w:trPr>
          <w:trHeight w:val="308" w:hRule="atLeast"/>
        </w:trPr>
        <w:tc>
          <w:tcPr>
            <w:tcW w:w="0" w:type="auto"/>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备注：本套报表金额单位转换时可能存在尾数误差。</w:t>
            </w: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308" w:hRule="atLeast"/>
        </w:trPr>
        <w:tc>
          <w:tcPr>
            <w:tcW w:w="0" w:type="auto"/>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注：本套决算报表中刷绿色单元格为自动取数生成，不需人工录入数据。</w:t>
            </w: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pPr>
        <w:snapToGrid w:val="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rPr>
      </w:pPr>
      <w:r>
        <w:rPr>
          <w:rFonts w:hint="eastAsia" w:ascii="仿宋" w:hAnsi="仿宋" w:eastAsia="仿宋"/>
          <w:sz w:val="24"/>
          <w:szCs w:val="24"/>
        </w:rPr>
        <w:t>2.“资产负债简表”指标本年年初数与上年年末数不一致的情况说明（附表2），包括财政收回、审计调整、归集调入或上缴、单位内部调剂等情况。</w:t>
      </w:r>
    </w:p>
    <w:p>
      <w:pPr>
        <w:snapToGrid w:val="0"/>
        <w:ind w:firstLine="480" w:firstLineChars="200"/>
        <w:rPr>
          <w:rFonts w:hint="eastAsia" w:ascii="仿宋" w:hAnsi="仿宋" w:eastAsia="仿宋"/>
          <w:sz w:val="24"/>
          <w:szCs w:val="24"/>
        </w:rPr>
      </w:pPr>
    </w:p>
    <w:p>
      <w:pPr>
        <w:numPr>
          <w:ilvl w:val="0"/>
          <w:numId w:val="1"/>
        </w:numPr>
        <w:snapToGrid w:val="0"/>
        <w:ind w:firstLine="480" w:firstLineChars="200"/>
        <w:rPr>
          <w:rFonts w:hint="eastAsia" w:ascii="仿宋" w:hAnsi="仿宋" w:eastAsia="仿宋"/>
          <w:sz w:val="24"/>
          <w:szCs w:val="24"/>
        </w:rPr>
      </w:pPr>
      <w:r>
        <w:rPr>
          <w:rFonts w:hint="eastAsia" w:ascii="仿宋" w:hAnsi="仿宋" w:eastAsia="仿宋"/>
          <w:sz w:val="24"/>
          <w:szCs w:val="24"/>
        </w:rPr>
        <w:t>“资产情况表”指标本年年初数与上年年末数不一致的情况说明。</w:t>
      </w:r>
    </w:p>
    <w:tbl>
      <w:tblPr>
        <w:tblW w:w="14505" w:type="dxa"/>
        <w:tblInd w:w="0" w:type="dxa"/>
        <w:shd w:val="clear"/>
        <w:tblLayout w:type="autofit"/>
        <w:tblCellMar>
          <w:top w:w="0" w:type="dxa"/>
          <w:left w:w="0" w:type="dxa"/>
          <w:bottom w:w="0" w:type="dxa"/>
          <w:right w:w="0" w:type="dxa"/>
        </w:tblCellMar>
      </w:tblPr>
      <w:tblGrid>
        <w:gridCol w:w="3836"/>
        <w:gridCol w:w="241"/>
        <w:gridCol w:w="876"/>
        <w:gridCol w:w="1299"/>
        <w:gridCol w:w="876"/>
        <w:gridCol w:w="1299"/>
        <w:gridCol w:w="3836"/>
        <w:gridCol w:w="241"/>
        <w:gridCol w:w="982"/>
        <w:gridCol w:w="1184"/>
      </w:tblGrid>
      <w:tr>
        <w:tblPrEx>
          <w:tblCellMar>
            <w:top w:w="0" w:type="dxa"/>
            <w:left w:w="0" w:type="dxa"/>
            <w:bottom w:w="0" w:type="dxa"/>
            <w:right w:w="0" w:type="dxa"/>
          </w:tblCellMar>
        </w:tblPrEx>
        <w:trPr>
          <w:trHeight w:val="540" w:hRule="atLeast"/>
        </w:trPr>
        <w:tc>
          <w:tcPr>
            <w:tcW w:w="14505" w:type="dxa"/>
            <w:gridSpan w:val="10"/>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bdr w:val="none" w:color="auto" w:sz="0" w:space="0"/>
                <w:lang w:val="en-US" w:eastAsia="zh-CN" w:bidi="ar"/>
              </w:rPr>
              <w:t>预算支出相关信息表</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财决附01表</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编制单位：临夏州广河县买家巷卫生院</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2021年度</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tblCellMar>
            <w:top w:w="0" w:type="dxa"/>
            <w:left w:w="0" w:type="dxa"/>
            <w:bottom w:w="0" w:type="dxa"/>
            <w:right w:w="0" w:type="dxa"/>
          </w:tblCellMar>
        </w:tblPrEx>
        <w:trPr>
          <w:trHeight w:val="30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  目</w:t>
            </w:r>
          </w:p>
        </w:tc>
        <w:tc>
          <w:tcPr>
            <w:tcW w:w="5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gridSpan w:val="2"/>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年初数</w:t>
            </w:r>
          </w:p>
        </w:tc>
        <w:tc>
          <w:tcPr>
            <w:tcW w:w="0" w:type="auto"/>
            <w:gridSpan w:val="2"/>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年末数</w:t>
            </w:r>
          </w:p>
        </w:tc>
        <w:tc>
          <w:tcPr>
            <w:tcW w:w="0" w:type="auto"/>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  目</w:t>
            </w:r>
          </w:p>
        </w:tc>
        <w:tc>
          <w:tcPr>
            <w:tcW w:w="55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年初数</w:t>
            </w:r>
          </w:p>
        </w:tc>
        <w:tc>
          <w:tcPr>
            <w:tcW w:w="0" w:type="auto"/>
            <w:vMerge w:val="restart"/>
            <w:tcBorders>
              <w:top w:val="single" w:color="000000" w:sz="4" w:space="0"/>
              <w:left w:val="nil"/>
              <w:bottom w:val="single" w:color="000000" w:sz="4" w:space="0"/>
              <w:right w:val="single" w:color="000000" w:sz="8"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年末数</w:t>
            </w:r>
          </w:p>
        </w:tc>
      </w:tr>
      <w:tr>
        <w:tblPrEx>
          <w:tblCellMar>
            <w:top w:w="0" w:type="dxa"/>
            <w:left w:w="0" w:type="dxa"/>
            <w:bottom w:w="0" w:type="dxa"/>
            <w:right w:w="0" w:type="dxa"/>
          </w:tblCellMar>
        </w:tblPrEx>
        <w:trPr>
          <w:trHeight w:val="3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数量</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数量</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8"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  次</w:t>
            </w:r>
          </w:p>
        </w:tc>
        <w:tc>
          <w:tcPr>
            <w:tcW w:w="5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  次</w:t>
            </w:r>
          </w:p>
        </w:tc>
        <w:tc>
          <w:tcPr>
            <w:tcW w:w="5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8"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财务会计补充信息</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预算会计补充信息</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一、资产信息</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一、预算结转结余信息</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（一）货币资金</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336,845.83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171,506.33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66,481.40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35,054.55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其中：银行存款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336,845.83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171,506.33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1．财政拨款结转</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66,481.40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35,054.55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（二）财政应返还额度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66,334.40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35,054.55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一般公共预算财政拨款结转</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66,481.40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35,054.55</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（三）固定资产原值</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4,997,689.60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7,358,627.08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政府性基金预算财政拨款结转</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其中：房屋（平方米）</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1,630.40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1,648,850.00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2,454,368.52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国有资本经营预算财政拨款结转</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1.办公用房</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109,924.00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109,924.00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2．财政拨款结余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2.业务用房</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1,440.40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1,538,926.00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1,620.00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2,344,444.52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一般公共预算财政拨款结余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3.其他（不含构筑物）</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政府性基金预算财政拨款结余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车辆（台、辆）</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326,687.52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国有资本经营预算财政拨款结余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1.轿车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（二）其他资金结转结余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108,895.93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2.越野车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1．非财政拨款结转</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108,895.93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3.小型载客汽车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2．非财政拨款结余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4.大中型载客汽车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3．专用结余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5.其他车型</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326,687.52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4．经营结余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减：固定资产累计折旧</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2,245,465.41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3,086,924.97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固定资产净值</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2,752,224.19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4,271,702.11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（四）在建工程</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二、负债信息</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（一）借款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（二）应缴财政款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6,762.50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（三）应付职工薪酬</w:t>
            </w: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numPr>
          <w:ilvl w:val="0"/>
          <w:numId w:val="0"/>
        </w:numPr>
        <w:snapToGrid w:val="0"/>
        <w:rPr>
          <w:rFonts w:hint="eastAsia" w:ascii="仿宋" w:hAnsi="仿宋" w:eastAsia="仿宋"/>
          <w:sz w:val="24"/>
          <w:szCs w:val="24"/>
        </w:rPr>
      </w:pPr>
    </w:p>
    <w:p>
      <w:pPr>
        <w:snapToGrid w:val="0"/>
        <w:ind w:firstLine="480" w:firstLineChars="200"/>
        <w:rPr>
          <w:rFonts w:hint="eastAsia" w:ascii="仿宋" w:hAnsi="仿宋" w:eastAsia="仿宋"/>
          <w:sz w:val="24"/>
          <w:szCs w:val="24"/>
          <w:lang w:eastAsia="zh-CN"/>
        </w:rPr>
      </w:pPr>
    </w:p>
    <w:p>
      <w:pPr>
        <w:snapToGrid w:val="0"/>
        <w:ind w:firstLine="480" w:firstLineChars="200"/>
        <w:rPr>
          <w:rFonts w:hint="eastAsia" w:ascii="仿宋" w:hAnsi="仿宋" w:eastAsia="仿宋"/>
          <w:sz w:val="24"/>
          <w:szCs w:val="24"/>
        </w:rPr>
      </w:pPr>
      <w:r>
        <w:rPr>
          <w:rFonts w:hint="eastAsia" w:ascii="仿宋" w:hAnsi="仿宋" w:eastAsia="仿宋"/>
          <w:sz w:val="24"/>
          <w:szCs w:val="24"/>
        </w:rPr>
        <w:t>4．主要指标上下年变动幅度超过20%，其中机构人员指标上下年有变动的，应具体核实并说明原因（附表3）。</w:t>
      </w:r>
    </w:p>
    <w:p>
      <w:pPr>
        <w:snapToGrid w:val="0"/>
        <w:ind w:firstLine="480" w:firstLineChars="200"/>
        <w:rPr>
          <w:rFonts w:hint="eastAsia" w:ascii="仿宋" w:hAnsi="仿宋" w:eastAsia="仿宋"/>
          <w:sz w:val="24"/>
          <w:szCs w:val="24"/>
        </w:rPr>
      </w:pPr>
    </w:p>
    <w:tbl>
      <w:tblPr>
        <w:tblW w:w="13005" w:type="dxa"/>
        <w:tblInd w:w="0" w:type="dxa"/>
        <w:shd w:val="clear"/>
        <w:tblLayout w:type="autofit"/>
        <w:tblCellMar>
          <w:top w:w="0" w:type="dxa"/>
          <w:left w:w="0" w:type="dxa"/>
          <w:bottom w:w="0" w:type="dxa"/>
          <w:right w:w="0" w:type="dxa"/>
        </w:tblCellMar>
      </w:tblPr>
      <w:tblGrid>
        <w:gridCol w:w="4160"/>
        <w:gridCol w:w="465"/>
        <w:gridCol w:w="1335"/>
        <w:gridCol w:w="1335"/>
        <w:gridCol w:w="1335"/>
        <w:gridCol w:w="791"/>
        <w:gridCol w:w="5249"/>
      </w:tblGrid>
      <w:tr>
        <w:tblPrEx>
          <w:shd w:val="clear"/>
          <w:tblCellMar>
            <w:top w:w="0" w:type="dxa"/>
            <w:left w:w="0" w:type="dxa"/>
            <w:bottom w:w="0" w:type="dxa"/>
            <w:right w:w="0" w:type="dxa"/>
          </w:tblCellMar>
        </w:tblPrEx>
        <w:trPr>
          <w:trHeight w:val="540" w:hRule="atLeast"/>
        </w:trPr>
        <w:tc>
          <w:tcPr>
            <w:tcW w:w="13005" w:type="dxa"/>
            <w:gridSpan w:val="7"/>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bdr w:val="none" w:color="auto" w:sz="0" w:space="0"/>
                <w:lang w:val="en-US" w:eastAsia="zh-CN" w:bidi="ar"/>
              </w:rPr>
              <w:t>主要指标变动情况表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编制单位：临夏州广河县买家巷卫生院</w:t>
            </w:r>
          </w:p>
        </w:tc>
        <w:tc>
          <w:tcPr>
            <w:tcW w:w="0" w:type="auto"/>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2021年度</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0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    标</w:t>
            </w:r>
          </w:p>
        </w:tc>
        <w:tc>
          <w:tcPr>
            <w:tcW w:w="0" w:type="auto"/>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本年度</w:t>
            </w:r>
          </w:p>
        </w:tc>
        <w:tc>
          <w:tcPr>
            <w:tcW w:w="0" w:type="auto"/>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上年度</w:t>
            </w:r>
          </w:p>
        </w:tc>
        <w:tc>
          <w:tcPr>
            <w:tcW w:w="0" w:type="auto"/>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比上年增减</w:t>
            </w:r>
          </w:p>
        </w:tc>
        <w:tc>
          <w:tcPr>
            <w:tcW w:w="0" w:type="auto"/>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增减％</w:t>
            </w:r>
          </w:p>
        </w:tc>
        <w:tc>
          <w:tcPr>
            <w:tcW w:w="0" w:type="auto"/>
            <w:vMerge w:val="restart"/>
            <w:tcBorders>
              <w:top w:val="single" w:color="000000" w:sz="4" w:space="0"/>
              <w:left w:val="nil"/>
              <w:bottom w:val="single" w:color="000000" w:sz="4" w:space="0"/>
              <w:right w:val="single" w:color="000000" w:sz="8"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原因</w:t>
            </w:r>
          </w:p>
        </w:tc>
      </w:tr>
      <w:tr>
        <w:tblPrEx>
          <w:tblCellMar>
            <w:top w:w="0" w:type="dxa"/>
            <w:left w:w="0" w:type="dxa"/>
            <w:bottom w:w="0" w:type="dxa"/>
            <w:right w:w="0" w:type="dxa"/>
          </w:tblCellMar>
        </w:tblPrEx>
        <w:trPr>
          <w:trHeight w:val="3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8"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7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栏    次 </w:t>
            </w: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8"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一、年度收支情况（单位：元）</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1.本年收入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6,958,434.75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5,617,900.42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1,340,534.33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23.86</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医疗收入较上年增加</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4,219,451.67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3,765,630.67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453,821.00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12.05</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133,685.00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133,685.00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*事业收入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2,605,298.08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1,852,269.75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753,028.33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40.65</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医疗收入较上年增加</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事业单位经营收入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2.本年支出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6,880,965.67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5,743,760.52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1,137,205.15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19.80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其中：基本支出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6,880,965.67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5,743,760.52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1,137,205.15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19.80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（1）人员经费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2,707,485.94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2,554,509.28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152,976.66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5.99</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（2）公用经费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4,173,479.73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3,189,251.24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984,228.49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30.86</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药品支出费用较上年增加</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项目支出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其中：基本建设类项目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事业单位经营支出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143,950.48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155,455.52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-11,505.04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35,054.55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155,455.52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-120,400.97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-77.45</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本年按实际清算数列支，计划不再列支，结转额度减少</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二、年末资产负债信息（单位：元）</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1.货币资金</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171,506.33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336,845.83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-165,339.50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-49.08</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本年加大支出进度，事业结转减少</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2.财政应返还额度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35,054.55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66,334.40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-31,279.85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-47.15</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本年按实际清算数列支，计划不再列支，结转额度减少</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3.房屋</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2,454,368.52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1,648,850.00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805,518.52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48.85</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广河县卫生健康局划转固定资产</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4.车辆</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326,687.52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229,687.52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236.79</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广河县卫生健康局划转固定资产</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5.在建工程</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6.借款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7.应缴财政款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6,762.50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-6,762.50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本年按时上缴基本户存款利息</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8.应付职工薪酬</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三、年末机构人员情况（单位：个、人）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shd w:val="cle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1.独立编制机构数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2.独立核算机构数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3.年末实有人数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-7.69</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人员调动</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在职人员</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-7.69</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人员调动</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其中：行政人员</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参照公务员法管理事业人员</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非参公事业人员</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-7.69</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人员调动</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离休人员</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退休人员</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4.年末其他人员数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5.年末学生人数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四、补充资料（单位：元）</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1.固定资产情况</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房屋面积（平方米）</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1,630.40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179.60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11.02</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车辆数量（辆）</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广河县卫生健康局划转固定资产</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2.“三公”经费支出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8,573.00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3,683.00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4,890.00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132.77</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因疫情原因救护车费用增加</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其中：因公出国（境）费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公务用车购置及运行维护费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8,573.00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3,683.00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4,890.00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132.77</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因疫情原因救护车费用增加</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其中：公务用车购置费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8,573.00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3,683.00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4,890.00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132.77</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因疫情原因救护车费用增加</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3.培训费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4.会议费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5.机关运行经费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6.年初预算数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1,743,412.00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1,224,933.00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518,479.00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42.33</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本年将上年结转资金列入年初预算</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1,809,893.40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1,506,248.62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303,644.78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20.16</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本年将上年结转资金列入年初预算</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7.调整预算数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6,958,434.75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5,617,900.42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1,340,534.33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23.86</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医疗收入较上年增加</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6,880,965.67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5,763,670.92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1,117,294.75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19.39</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年末结转和结余</w:t>
            </w: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143,950.48</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135,545.12</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8,405.36</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6.20</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注：1.本表反映单位本年收支余、资产负债、机构人员等主要指标与上年数对比变动情况及变动原因，各单位均需填报本表。</w:t>
            </w:r>
          </w:p>
        </w:tc>
      </w:tr>
      <w:tr>
        <w:tblPrEx>
          <w:shd w:val="clear"/>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2.事业收入中含事业单位财政专户管理资金收入。</w:t>
            </w: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3.其他收入指单位取得的除财政拨款、事业收入、经营收入、上级补助收入、附属单位上缴收入以外的收入。</w:t>
            </w: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4.结转和结余包括单位财政拨款结转和结余及其他资金结转和结余。</w:t>
            </w:r>
          </w:p>
        </w:tc>
      </w:tr>
      <w:tr>
        <w:trPr>
          <w:trHeight w:val="308" w:hRule="atLeast"/>
        </w:trPr>
        <w:tc>
          <w:tcPr>
            <w:tcW w:w="0" w:type="auto"/>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5.本表应作为部门决算填报说明第二部分的附件一并报送。</w:t>
            </w:r>
          </w:p>
        </w:tc>
      </w:tr>
    </w:tbl>
    <w:p>
      <w:pPr>
        <w:snapToGrid w:val="0"/>
        <w:ind w:firstLine="480" w:firstLineChars="200"/>
        <w:rPr>
          <w:rFonts w:hint="eastAsia" w:ascii="仿宋" w:hAnsi="仿宋" w:eastAsia="仿宋"/>
          <w:sz w:val="24"/>
          <w:szCs w:val="24"/>
        </w:rPr>
      </w:pPr>
    </w:p>
    <w:p>
      <w:pPr>
        <w:snapToGrid w:val="0"/>
        <w:ind w:firstLine="480" w:firstLineChars="200"/>
        <w:rPr>
          <w:rFonts w:hint="eastAsia" w:ascii="黑体" w:hAnsi="黑体" w:eastAsia="黑体"/>
          <w:sz w:val="24"/>
          <w:szCs w:val="24"/>
        </w:rPr>
      </w:pPr>
      <w:r>
        <w:rPr>
          <w:rFonts w:hint="eastAsia" w:ascii="黑体" w:hAnsi="黑体" w:eastAsia="黑体"/>
          <w:sz w:val="24"/>
          <w:szCs w:val="24"/>
        </w:rPr>
        <w:t xml:space="preserve"> 四、报表审核情况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（一）审核情况。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1．审核公式。</w:t>
      </w:r>
    </w:p>
    <w:p>
      <w:pPr>
        <w:snapToGrid w:val="0"/>
        <w:ind w:firstLine="480" w:firstLineChars="200"/>
        <w:rPr>
          <w:rFonts w:hint="eastAsia" w:ascii="仿宋" w:hAnsi="仿宋" w:eastAsia="仿宋"/>
          <w:sz w:val="24"/>
          <w:szCs w:val="24"/>
        </w:rPr>
      </w:pPr>
      <w:r>
        <w:rPr>
          <w:rFonts w:hint="eastAsia" w:ascii="仿宋" w:hAnsi="仿宋" w:eastAsia="仿宋"/>
          <w:sz w:val="24"/>
          <w:szCs w:val="24"/>
        </w:rPr>
        <w:t>审核公式共提示</w:t>
      </w:r>
      <w:r>
        <w:rPr>
          <w:rFonts w:hint="eastAsia" w:ascii="仿宋" w:hAnsi="仿宋" w:eastAsia="仿宋"/>
          <w:sz w:val="24"/>
          <w:szCs w:val="24"/>
          <w:lang w:val="en-US" w:eastAsia="zh-CN"/>
        </w:rPr>
        <w:t>0</w:t>
      </w:r>
      <w:r>
        <w:rPr>
          <w:rFonts w:hint="eastAsia" w:ascii="仿宋" w:hAnsi="仿宋" w:eastAsia="仿宋"/>
          <w:sz w:val="24"/>
          <w:szCs w:val="24"/>
        </w:rPr>
        <w:t>条。其中：</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（1）表间公式共</w:t>
      </w:r>
      <w:r>
        <w:rPr>
          <w:rFonts w:hint="eastAsia" w:ascii="仿宋" w:hAnsi="仿宋" w:eastAsia="仿宋"/>
          <w:sz w:val="24"/>
          <w:szCs w:val="24"/>
          <w:lang w:val="en-US" w:eastAsia="zh-CN"/>
        </w:rPr>
        <w:t>0</w:t>
      </w:r>
      <w:r>
        <w:rPr>
          <w:rFonts w:hint="eastAsia" w:ascii="仿宋" w:hAnsi="仿宋" w:eastAsia="仿宋"/>
          <w:sz w:val="24"/>
          <w:szCs w:val="24"/>
        </w:rPr>
        <w:t>条。</w:t>
      </w:r>
      <w:r>
        <w:rPr>
          <w:rFonts w:hint="eastAsia" w:ascii="仿宋" w:hAnsi="仿宋" w:eastAsia="仿宋"/>
          <w:sz w:val="24"/>
          <w:szCs w:val="24"/>
        </w:rPr>
        <w:tab/>
      </w:r>
      <w:r>
        <w:rPr>
          <w:rFonts w:hint="eastAsia" w:ascii="仿宋" w:hAnsi="仿宋" w:eastAsia="仿宋"/>
          <w:sz w:val="24"/>
          <w:szCs w:val="24"/>
        </w:rPr>
        <w:t>　</w:t>
      </w:r>
      <w:r>
        <w:rPr>
          <w:rFonts w:hint="eastAsia" w:ascii="仿宋" w:hAnsi="仿宋" w:eastAsia="仿宋"/>
          <w:sz w:val="24"/>
          <w:szCs w:val="24"/>
        </w:rPr>
        <w:tab/>
      </w:r>
      <w:r>
        <w:rPr>
          <w:rFonts w:hint="eastAsia" w:ascii="仿宋" w:hAnsi="仿宋" w:eastAsia="仿宋"/>
          <w:sz w:val="24"/>
          <w:szCs w:val="24"/>
        </w:rPr>
        <w:t>　</w:t>
      </w:r>
    </w:p>
    <w:p>
      <w:pPr>
        <w:snapToGrid w:val="0"/>
        <w:ind w:firstLine="480" w:firstLineChars="200"/>
        <w:rPr>
          <w:rFonts w:hint="eastAsia" w:ascii="仿宋" w:hAnsi="仿宋" w:eastAsia="仿宋"/>
          <w:sz w:val="24"/>
          <w:szCs w:val="24"/>
        </w:rPr>
      </w:pPr>
      <w:r>
        <w:rPr>
          <w:rFonts w:hint="eastAsia" w:ascii="仿宋" w:hAnsi="仿宋" w:eastAsia="仿宋"/>
          <w:sz w:val="24"/>
          <w:szCs w:val="24"/>
        </w:rPr>
        <w:t>A0-</w:t>
      </w:r>
      <w:r>
        <w:rPr>
          <w:rFonts w:hint="eastAsia" w:ascii="仿宋" w:hAnsi="仿宋" w:eastAsia="仿宋"/>
          <w:sz w:val="24"/>
          <w:szCs w:val="24"/>
          <w:lang w:val="en-US" w:eastAsia="zh-CN"/>
        </w:rPr>
        <w:t>0</w:t>
      </w:r>
      <w:r>
        <w:rPr>
          <w:rFonts w:hint="eastAsia" w:ascii="仿宋" w:hAnsi="仿宋" w:eastAsia="仿宋"/>
          <w:sz w:val="24"/>
          <w:szCs w:val="24"/>
        </w:rPr>
        <w:t>公式，提示内容</w:t>
      </w:r>
      <w:r>
        <w:rPr>
          <w:rFonts w:hint="eastAsia" w:ascii="仿宋" w:hAnsi="仿宋" w:eastAsia="仿宋"/>
          <w:sz w:val="24"/>
          <w:szCs w:val="24"/>
          <w:lang w:val="en-US" w:eastAsia="zh-CN"/>
        </w:rPr>
        <w:t>0</w:t>
      </w:r>
      <w:r>
        <w:rPr>
          <w:rFonts w:hint="eastAsia" w:ascii="仿宋" w:hAnsi="仿宋" w:eastAsia="仿宋"/>
          <w:sz w:val="24"/>
          <w:szCs w:val="24"/>
        </w:rPr>
        <w:t>，保留原因是</w:t>
      </w:r>
      <w:r>
        <w:rPr>
          <w:rFonts w:hint="eastAsia" w:ascii="仿宋" w:hAnsi="仿宋" w:eastAsia="仿宋"/>
          <w:sz w:val="24"/>
          <w:szCs w:val="24"/>
          <w:lang w:val="en-US" w:eastAsia="zh-CN"/>
        </w:rPr>
        <w:t>0</w:t>
      </w:r>
      <w:r>
        <w:rPr>
          <w:rFonts w:hint="eastAsia" w:ascii="仿宋" w:hAnsi="仿宋" w:eastAsia="仿宋"/>
          <w:sz w:val="24"/>
          <w:szCs w:val="24"/>
        </w:rPr>
        <w:t>。</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……以下逐条列举。　</w:t>
      </w:r>
      <w:r>
        <w:rPr>
          <w:rFonts w:hint="eastAsia" w:ascii="仿宋" w:hAnsi="仿宋" w:eastAsia="仿宋"/>
          <w:sz w:val="24"/>
          <w:szCs w:val="24"/>
        </w:rPr>
        <w:tab/>
      </w:r>
      <w:r>
        <w:rPr>
          <w:rFonts w:hint="eastAsia" w:ascii="仿宋" w:hAnsi="仿宋" w:eastAsia="仿宋"/>
          <w:sz w:val="24"/>
          <w:szCs w:val="24"/>
        </w:rPr>
        <w:t>　</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（2）表内公式共</w:t>
      </w:r>
      <w:r>
        <w:rPr>
          <w:rFonts w:hint="eastAsia" w:ascii="仿宋" w:hAnsi="仿宋" w:eastAsia="仿宋"/>
          <w:sz w:val="24"/>
          <w:szCs w:val="24"/>
          <w:lang w:val="en-US" w:eastAsia="zh-CN"/>
        </w:rPr>
        <w:t>0</w:t>
      </w:r>
      <w:r>
        <w:rPr>
          <w:rFonts w:hint="eastAsia" w:ascii="仿宋" w:hAnsi="仿宋" w:eastAsia="仿宋"/>
          <w:sz w:val="24"/>
          <w:szCs w:val="24"/>
        </w:rPr>
        <w:t>条。</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　</w:t>
      </w:r>
    </w:p>
    <w:p>
      <w:pPr>
        <w:snapToGrid w:val="0"/>
        <w:ind w:firstLine="480" w:firstLineChars="200"/>
        <w:rPr>
          <w:rFonts w:hint="eastAsia" w:ascii="仿宋" w:hAnsi="仿宋" w:eastAsia="仿宋"/>
          <w:sz w:val="24"/>
          <w:szCs w:val="24"/>
        </w:rPr>
      </w:pPr>
      <w:r>
        <w:rPr>
          <w:rFonts w:hint="eastAsia" w:ascii="仿宋" w:hAnsi="仿宋" w:eastAsia="仿宋"/>
          <w:sz w:val="24"/>
          <w:szCs w:val="24"/>
        </w:rPr>
        <w:t>A</w:t>
      </w:r>
      <w:r>
        <w:rPr>
          <w:rFonts w:hint="eastAsia" w:ascii="仿宋" w:hAnsi="仿宋" w:eastAsia="仿宋"/>
          <w:sz w:val="24"/>
          <w:szCs w:val="24"/>
          <w:lang w:val="en-US" w:eastAsia="zh-CN"/>
        </w:rPr>
        <w:t>0</w:t>
      </w:r>
      <w:r>
        <w:rPr>
          <w:rFonts w:hint="eastAsia" w:ascii="仿宋" w:hAnsi="仿宋" w:eastAsia="仿宋"/>
          <w:sz w:val="24"/>
          <w:szCs w:val="24"/>
        </w:rPr>
        <w:t>公式，提示内容</w:t>
      </w:r>
      <w:r>
        <w:rPr>
          <w:rFonts w:hint="eastAsia" w:ascii="仿宋" w:hAnsi="仿宋" w:eastAsia="仿宋"/>
          <w:sz w:val="24"/>
          <w:szCs w:val="24"/>
          <w:lang w:val="en-US" w:eastAsia="zh-CN"/>
        </w:rPr>
        <w:t>0</w:t>
      </w:r>
      <w:r>
        <w:rPr>
          <w:rFonts w:hint="eastAsia" w:ascii="仿宋" w:hAnsi="仿宋" w:eastAsia="仿宋"/>
          <w:sz w:val="24"/>
          <w:szCs w:val="24"/>
        </w:rPr>
        <w:t>，保留原因是</w:t>
      </w:r>
      <w:r>
        <w:rPr>
          <w:rFonts w:hint="eastAsia" w:ascii="仿宋" w:hAnsi="仿宋" w:eastAsia="仿宋"/>
          <w:sz w:val="24"/>
          <w:szCs w:val="24"/>
          <w:lang w:val="en-US" w:eastAsia="zh-CN"/>
        </w:rPr>
        <w:t>0</w:t>
      </w:r>
      <w:r>
        <w:rPr>
          <w:rFonts w:hint="eastAsia" w:ascii="仿宋" w:hAnsi="仿宋" w:eastAsia="仿宋"/>
          <w:sz w:val="24"/>
          <w:szCs w:val="24"/>
        </w:rPr>
        <w:t>。</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……以下逐条列举。　</w:t>
      </w:r>
      <w:r>
        <w:rPr>
          <w:rFonts w:hint="eastAsia" w:ascii="仿宋" w:hAnsi="仿宋" w:eastAsia="仿宋"/>
          <w:sz w:val="24"/>
          <w:szCs w:val="24"/>
        </w:rPr>
        <w:tab/>
      </w:r>
      <w:r>
        <w:rPr>
          <w:rFonts w:hint="eastAsia" w:ascii="仿宋" w:hAnsi="仿宋" w:eastAsia="仿宋"/>
          <w:sz w:val="24"/>
          <w:szCs w:val="24"/>
        </w:rPr>
        <w:t>　</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2．审核模板。</w:t>
      </w:r>
    </w:p>
    <w:p>
      <w:pPr>
        <w:snapToGrid w:val="0"/>
        <w:ind w:firstLine="480" w:firstLineChars="200"/>
        <w:rPr>
          <w:rFonts w:hint="eastAsia" w:ascii="仿宋" w:hAnsi="仿宋" w:eastAsia="仿宋"/>
          <w:sz w:val="24"/>
          <w:szCs w:val="24"/>
        </w:rPr>
      </w:pPr>
      <w:r>
        <w:rPr>
          <w:rFonts w:hint="eastAsia" w:ascii="仿宋" w:hAnsi="仿宋" w:eastAsia="仿宋"/>
          <w:sz w:val="24"/>
          <w:szCs w:val="24"/>
        </w:rPr>
        <w:t>A-</w:t>
      </w:r>
      <w:r>
        <w:rPr>
          <w:rFonts w:hint="eastAsia" w:ascii="仿宋" w:hAnsi="仿宋" w:eastAsia="仿宋"/>
          <w:sz w:val="24"/>
          <w:szCs w:val="24"/>
          <w:lang w:val="en-US" w:eastAsia="zh-CN"/>
        </w:rPr>
        <w:t>0</w:t>
      </w:r>
      <w:r>
        <w:rPr>
          <w:rFonts w:hint="eastAsia" w:ascii="仿宋" w:hAnsi="仿宋" w:eastAsia="仿宋"/>
          <w:sz w:val="24"/>
          <w:szCs w:val="24"/>
        </w:rPr>
        <w:t>，提示内容</w:t>
      </w:r>
      <w:r>
        <w:rPr>
          <w:rFonts w:hint="eastAsia" w:ascii="仿宋" w:hAnsi="仿宋" w:eastAsia="仿宋"/>
          <w:sz w:val="24"/>
          <w:szCs w:val="24"/>
          <w:lang w:val="en-US" w:eastAsia="zh-CN"/>
        </w:rPr>
        <w:t>0</w:t>
      </w:r>
      <w:r>
        <w:rPr>
          <w:rFonts w:hint="eastAsia" w:ascii="仿宋" w:hAnsi="仿宋" w:eastAsia="仿宋"/>
          <w:sz w:val="24"/>
          <w:szCs w:val="24"/>
        </w:rPr>
        <w:t>，主要情况是</w:t>
      </w:r>
      <w:r>
        <w:rPr>
          <w:rFonts w:hint="eastAsia" w:ascii="仿宋" w:hAnsi="仿宋" w:eastAsia="仿宋"/>
          <w:sz w:val="24"/>
          <w:szCs w:val="24"/>
          <w:lang w:val="en-US" w:eastAsia="zh-CN"/>
        </w:rPr>
        <w:t>0</w:t>
      </w:r>
      <w:r>
        <w:rPr>
          <w:rFonts w:hint="eastAsia" w:ascii="仿宋" w:hAnsi="仿宋" w:eastAsia="仿宋"/>
          <w:sz w:val="24"/>
          <w:szCs w:val="24"/>
        </w:rPr>
        <w:t>。</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……以下逐模板列举。</w:t>
      </w:r>
    </w:p>
    <w:p>
      <w:pPr>
        <w:snapToGrid w:val="0"/>
        <w:ind w:firstLine="480" w:firstLineChars="200"/>
        <w:rPr>
          <w:rFonts w:hint="eastAsia" w:ascii="仿宋" w:hAnsi="仿宋" w:eastAsia="仿宋"/>
          <w:sz w:val="24"/>
          <w:szCs w:val="24"/>
        </w:rPr>
      </w:pPr>
      <w:r>
        <w:rPr>
          <w:rFonts w:hint="eastAsia" w:ascii="仿宋" w:hAnsi="仿宋" w:eastAsia="仿宋"/>
          <w:sz w:val="24"/>
          <w:szCs w:val="24"/>
        </w:rPr>
        <w:t>单位需按审核模板逐一进行说明。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（二）对报表指标、审核公式和审核模板的设置建议。</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1.对部门决算报表指标设置的建议。</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2.如有不适用的审核公式和模板，请列出并说明修改意见。</w:t>
      </w:r>
    </w:p>
    <w:p>
      <w:pPr>
        <w:snapToGrid w:val="0"/>
        <w:ind w:firstLine="480" w:firstLineChars="200"/>
        <w:rPr>
          <w:rFonts w:hint="eastAsia" w:ascii="仿宋" w:hAnsi="仿宋" w:eastAsia="仿宋"/>
          <w:sz w:val="24"/>
          <w:szCs w:val="24"/>
        </w:rPr>
      </w:pPr>
      <w:r>
        <w:rPr>
          <w:rFonts w:hint="eastAsia" w:ascii="仿宋" w:hAnsi="仿宋" w:eastAsia="仿宋"/>
          <w:sz w:val="24"/>
          <w:szCs w:val="24"/>
        </w:rPr>
        <w:t>3.单位自行增加的审核公式和模板，请列出并说明设置依据。</w:t>
      </w:r>
    </w:p>
    <w:p>
      <w:pPr>
        <w:snapToGrid w:val="0"/>
        <w:ind w:firstLine="480" w:firstLineChars="200"/>
        <w:rPr>
          <w:rFonts w:hint="eastAsia" w:ascii="仿宋" w:hAnsi="仿宋" w:eastAsia="仿宋"/>
          <w:sz w:val="24"/>
          <w:szCs w:val="24"/>
        </w:rPr>
      </w:pPr>
    </w:p>
    <w:p>
      <w:pPr>
        <w:snapToGrid w:val="0"/>
        <w:ind w:firstLine="480" w:firstLineChars="200"/>
        <w:rPr>
          <w:rFonts w:hint="eastAsia" w:ascii="黑体" w:hAnsi="黑体" w:eastAsia="黑体"/>
          <w:sz w:val="24"/>
          <w:szCs w:val="24"/>
        </w:rPr>
      </w:pPr>
      <w:r>
        <w:rPr>
          <w:rFonts w:hint="eastAsia" w:ascii="黑体" w:hAnsi="黑体" w:eastAsia="黑体"/>
          <w:sz w:val="24"/>
          <w:szCs w:val="24"/>
        </w:rPr>
        <w:t>五、决算数据其他需要说明的情况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收入决算表”中其他收入的具体构成情况，说明单位从本级财政部门以外的同级单位取得的经费、从非本级财政部门取得的经费、未纳入财政专户管理的投资收益、利息收入、捐赠收入等收入情况（附表4）。</w:t>
      </w:r>
    </w:p>
    <w:p>
      <w:pPr>
        <w:snapToGrid w:val="0"/>
        <w:ind w:firstLine="480" w:firstLineChars="200"/>
        <w:rPr>
          <w:rFonts w:hint="eastAsia" w:ascii="仿宋" w:hAnsi="仿宋" w:eastAsia="仿宋"/>
          <w:sz w:val="24"/>
          <w:szCs w:val="24"/>
        </w:rPr>
      </w:pPr>
      <w:r>
        <w:rPr>
          <w:rFonts w:hint="eastAsia" w:ascii="仿宋" w:hAnsi="仿宋" w:eastAsia="仿宋"/>
          <w:sz w:val="24"/>
          <w:szCs w:val="24"/>
        </w:rPr>
        <w:t>2.年末结转和结余为负数的原因说明，包括单位基本支出结转、项目支出结转和结余、事业基金结余和专用基金结余为负数的情况。</w:t>
      </w:r>
    </w:p>
    <w:p>
      <w:pPr>
        <w:snapToGrid w:val="0"/>
        <w:ind w:firstLine="480" w:firstLineChars="200"/>
        <w:rPr>
          <w:rFonts w:hint="eastAsia" w:ascii="仿宋" w:hAnsi="仿宋" w:eastAsia="仿宋"/>
          <w:sz w:val="24"/>
          <w:szCs w:val="24"/>
        </w:rPr>
      </w:pPr>
      <w:r>
        <w:rPr>
          <w:rFonts w:hint="eastAsia" w:ascii="仿宋" w:hAnsi="仿宋" w:eastAsia="仿宋"/>
          <w:sz w:val="24"/>
          <w:szCs w:val="24"/>
        </w:rPr>
        <w:t>3．“项目支出决算明细表”中列支“工资福利支出”和“对个人和家庭的补助”的依据及说明。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4.“财政专户管理资金收入支出决算表”中除教育收费以外的资金收支情况说明（需附相关文件依据）。</w:t>
      </w:r>
    </w:p>
    <w:p>
      <w:pPr>
        <w:snapToGrid w:val="0"/>
        <w:ind w:firstLine="480" w:firstLineChars="200"/>
        <w:rPr>
          <w:rFonts w:hint="eastAsia" w:ascii="仿宋" w:hAnsi="仿宋" w:eastAsia="仿宋"/>
          <w:sz w:val="24"/>
          <w:szCs w:val="24"/>
        </w:rPr>
      </w:pPr>
      <w:r>
        <w:rPr>
          <w:rFonts w:hint="eastAsia" w:ascii="仿宋" w:hAnsi="仿宋" w:eastAsia="仿宋"/>
          <w:sz w:val="24"/>
          <w:szCs w:val="24"/>
        </w:rPr>
        <w:t>5.“资产负债简表”中行政事业单位 “应收账款”、“预付账款”、“其他应收款”、“应付账款”、“预收账款”、 “其他应付款”等往来账款情况进行详细说明。</w:t>
      </w:r>
    </w:p>
    <w:p>
      <w:pPr>
        <w:snapToGrid w:val="0"/>
        <w:ind w:firstLine="480" w:firstLineChars="200"/>
        <w:rPr>
          <w:rFonts w:hint="eastAsia" w:ascii="仿宋" w:hAnsi="仿宋" w:eastAsia="仿宋"/>
          <w:sz w:val="24"/>
          <w:szCs w:val="24"/>
        </w:rPr>
      </w:pPr>
      <w:r>
        <w:rPr>
          <w:rFonts w:hint="eastAsia" w:ascii="仿宋" w:hAnsi="仿宋" w:eastAsia="仿宋"/>
          <w:sz w:val="24"/>
          <w:szCs w:val="24"/>
        </w:rPr>
        <w:t>6.“三公”经费总额及分项金额与年初预算数、上年决算数对比变动的原因说明，以及相关的公务用车购置及保有量、因公出国（境）团组数及人数和公务接待批次及人数等情况（附表5）。</w:t>
      </w:r>
    </w:p>
    <w:p>
      <w:pPr>
        <w:snapToGrid w:val="0"/>
        <w:ind w:firstLine="480" w:firstLineChars="200"/>
        <w:rPr>
          <w:rFonts w:hint="eastAsia" w:ascii="仿宋" w:hAnsi="仿宋" w:eastAsia="仿宋"/>
          <w:sz w:val="24"/>
          <w:szCs w:val="24"/>
        </w:rPr>
      </w:pPr>
      <w:r>
        <w:rPr>
          <w:rFonts w:hint="eastAsia" w:ascii="仿宋" w:hAnsi="仿宋" w:eastAsia="仿宋"/>
          <w:sz w:val="24"/>
          <w:szCs w:val="24"/>
        </w:rPr>
        <w:t>7.行政单位、参照公务员法管理的事业单位机关运行经费支出情况，以及与上年数对比变动原因说明（附表5）。</w:t>
      </w:r>
    </w:p>
    <w:p>
      <w:pPr>
        <w:snapToGrid w:val="0"/>
        <w:ind w:firstLine="480" w:firstLineChars="200"/>
        <w:rPr>
          <w:rFonts w:hint="eastAsia" w:ascii="仿宋" w:hAnsi="仿宋" w:eastAsia="仿宋"/>
          <w:sz w:val="24"/>
          <w:szCs w:val="24"/>
        </w:rPr>
      </w:pPr>
      <w:r>
        <w:rPr>
          <w:rFonts w:hint="eastAsia" w:ascii="仿宋" w:hAnsi="仿宋" w:eastAsia="仿宋"/>
          <w:sz w:val="24"/>
          <w:szCs w:val="24"/>
        </w:rPr>
        <w:t>8.政府采购支出情况，包括采购类型、采购规模和资金来源等（附表6）。</w:t>
      </w:r>
    </w:p>
    <w:p>
      <w:pPr>
        <w:snapToGrid w:val="0"/>
        <w:ind w:firstLine="480" w:firstLineChars="200"/>
        <w:rPr>
          <w:rFonts w:hint="eastAsia" w:ascii="仿宋" w:hAnsi="仿宋" w:eastAsia="仿宋"/>
          <w:sz w:val="24"/>
          <w:szCs w:val="24"/>
        </w:rPr>
      </w:pPr>
      <w:r>
        <w:rPr>
          <w:rFonts w:hint="eastAsia" w:ascii="仿宋" w:hAnsi="仿宋" w:eastAsia="仿宋"/>
          <w:sz w:val="24"/>
          <w:szCs w:val="24"/>
        </w:rPr>
        <w:t>9.中央单位财政拨款结转和结余情况（附表7）。</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10.中央单位驻外机构有关情况（附表8、9）。</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11.住房公积金管理中心住房公积金业务收支情况（附表10）。</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12.“收入支出决算总表”中如调整预算数大于年初预算数，说明单位财政拨款预算和非财政拨款预算调整情况以及经审批或备案的文件依据。</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13.按支出经济分类科目分具体项目支出明细情况（附表11、12、13）。</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14.党和国家机构调整对决算编报相关方面的影响。</w:t>
      </w:r>
    </w:p>
    <w:p>
      <w:pPr>
        <w:snapToGrid w:val="0"/>
        <w:ind w:firstLine="480" w:firstLineChars="200"/>
        <w:rPr>
          <w:rFonts w:hint="eastAsia" w:ascii="仿宋" w:hAnsi="仿宋" w:eastAsia="仿宋"/>
          <w:sz w:val="24"/>
          <w:szCs w:val="24"/>
        </w:rPr>
      </w:pPr>
      <w:r>
        <w:rPr>
          <w:rFonts w:hint="eastAsia" w:ascii="仿宋" w:hAnsi="仿宋" w:eastAsia="仿宋"/>
          <w:sz w:val="24"/>
          <w:szCs w:val="24"/>
        </w:rPr>
        <w:t>15.其他需要说明的问题，如资产负债变动、长期投资和国有资产管理，以及对本期或者下期财务状况发生重大影响事项。</w:t>
      </w:r>
    </w:p>
    <w:p>
      <w:pPr>
        <w:snapToGrid w:val="0"/>
        <w:rPr>
          <w:rFonts w:hint="eastAsia" w:ascii="仿宋" w:hAnsi="仿宋" w:eastAsia="仿宋"/>
          <w:sz w:val="28"/>
          <w:szCs w:val="28"/>
        </w:rPr>
      </w:pPr>
    </w:p>
    <w:p>
      <w:pPr>
        <w:snapToGrid w:val="0"/>
        <w:ind w:firstLine="560" w:firstLineChars="200"/>
        <w:rPr>
          <w:rFonts w:hint="eastAsia" w:ascii="仿宋" w:hAnsi="仿宋" w:eastAsia="仿宋"/>
          <w:sz w:val="28"/>
          <w:szCs w:val="28"/>
        </w:rPr>
      </w:pPr>
    </w:p>
    <w:p>
      <w:pPr>
        <w:snapToGrid w:val="0"/>
        <w:ind w:firstLine="560" w:firstLineChars="200"/>
        <w:rPr>
          <w:rFonts w:hint="eastAsia" w:ascii="仿宋" w:hAnsi="仿宋" w:eastAsia="仿宋"/>
          <w:sz w:val="28"/>
          <w:szCs w:val="28"/>
        </w:rPr>
      </w:pPr>
    </w:p>
    <w:p>
      <w:pPr>
        <w:snapToGrid w:val="0"/>
        <w:rPr>
          <w:rFonts w:hint="eastAsia"/>
          <w:sz w:val="24"/>
          <w:szCs w:val="24"/>
          <w:lang w:val="en-US" w:eastAsia="zh-CN"/>
        </w:rPr>
      </w:pPr>
    </w:p>
    <w:p>
      <w:pPr>
        <w:snapToGrid w:val="0"/>
        <w:rPr>
          <w:rFonts w:hint="eastAsia" w:eastAsiaTheme="minorEastAsia"/>
          <w:sz w:val="24"/>
          <w:szCs w:val="24"/>
          <w:lang w:val="en-US" w:eastAsia="zh-CN"/>
        </w:rPr>
      </w:pPr>
      <w:r>
        <w:rPr>
          <w:rFonts w:hint="eastAsia"/>
          <w:sz w:val="24"/>
          <w:szCs w:val="24"/>
          <w:lang w:val="en-US" w:eastAsia="zh-CN"/>
        </w:rPr>
        <w:t>附表6：</w:t>
      </w:r>
    </w:p>
    <w:tbl>
      <w:tblPr>
        <w:tblW w:w="13335" w:type="dxa"/>
        <w:tblInd w:w="0" w:type="dxa"/>
        <w:shd w:val="clear"/>
        <w:tblLayout w:type="autofit"/>
        <w:tblCellMar>
          <w:top w:w="0" w:type="dxa"/>
          <w:left w:w="0" w:type="dxa"/>
          <w:bottom w:w="0" w:type="dxa"/>
          <w:right w:w="0" w:type="dxa"/>
        </w:tblCellMar>
      </w:tblPr>
      <w:tblGrid>
        <w:gridCol w:w="3990"/>
        <w:gridCol w:w="470"/>
        <w:gridCol w:w="1020"/>
        <w:gridCol w:w="910"/>
        <w:gridCol w:w="5750"/>
        <w:gridCol w:w="470"/>
        <w:gridCol w:w="1230"/>
      </w:tblGrid>
      <w:tr>
        <w:tblPrEx>
          <w:shd w:val="clear"/>
          <w:tblCellMar>
            <w:top w:w="0" w:type="dxa"/>
            <w:left w:w="0" w:type="dxa"/>
            <w:bottom w:w="0" w:type="dxa"/>
            <w:right w:w="0" w:type="dxa"/>
          </w:tblCellMar>
        </w:tblPrEx>
        <w:trPr>
          <w:trHeight w:val="540" w:hRule="atLeast"/>
        </w:trPr>
        <w:tc>
          <w:tcPr>
            <w:tcW w:w="13335" w:type="dxa"/>
            <w:gridSpan w:val="7"/>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bdr w:val="none" w:color="auto" w:sz="0" w:space="0"/>
                <w:lang w:val="en-US" w:eastAsia="zh-CN" w:bidi="ar"/>
              </w:rPr>
              <w:t>机构运行信息表</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财决附03表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编制单位：临夏州广河县买家巷卫生院</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2021年度</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预算数</w:t>
            </w:r>
          </w:p>
        </w:tc>
        <w:tc>
          <w:tcPr>
            <w:tcW w:w="0" w:type="auto"/>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统计数</w:t>
            </w:r>
          </w:p>
        </w:tc>
        <w:tc>
          <w:tcPr>
            <w:tcW w:w="0" w:type="auto"/>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tcBorders>
              <w:top w:val="single" w:color="000000" w:sz="4" w:space="0"/>
              <w:left w:val="nil"/>
              <w:bottom w:val="single" w:color="000000" w:sz="4" w:space="0"/>
              <w:right w:val="single" w:color="000000" w:sz="8"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统计数</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  次</w:t>
            </w: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  次</w:t>
            </w:r>
          </w:p>
        </w:tc>
        <w:tc>
          <w:tcPr>
            <w:tcW w:w="0" w:type="auto"/>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四、机关运行经费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8,573.00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（一）行政单位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（二）参照公务员法管理事业单位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8,573.00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五、资产信息</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（一）车辆数合计（辆）</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8,573.00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（二）相关统计数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（二）单价50万元（含）以上的通用设备（台、套…）</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（三）单价100万元（含）以上的专用设备（台、套…）</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六、政府采购支出信息</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（一）政府采购支出合计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82,214.00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1．政府采购货物支出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49,164.00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2．政府采购工程支出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3．政府采购服务支出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33,050.00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（二）政府采购授予中小企业合同金额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82,214.00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二、会议费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其中：授予小微企业合同金额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82,214.00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三、培训费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七、由养老保险基金发放养老金的离退休人员（人）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（一）离休人员</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（二）财政拨款退休人员</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8"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8"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（三）经费自理退休人员</w:t>
            </w: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bl>
    <w:p>
      <w:pPr>
        <w:snapToGrid w:val="0"/>
        <w:jc w:val="right"/>
      </w:pPr>
      <w:bookmarkStart w:id="4" w:name="_GoBack"/>
      <w:bookmarkEnd w:id="4"/>
    </w:p>
    <w:p>
      <w:pPr>
        <w:snapToGrid w:val="0"/>
        <w:jc w:val="right"/>
      </w:pPr>
    </w:p>
    <w:p>
      <w:pPr>
        <w:snapToGrid w:val="0"/>
        <w:jc w:val="both"/>
        <w:rPr>
          <w:rFonts w:hint="eastAsia"/>
          <w:lang w:val="en-US" w:eastAsia="zh-CN"/>
        </w:rPr>
      </w:pPr>
      <w:r>
        <w:rPr>
          <w:rFonts w:hint="eastAsia"/>
          <w:lang w:val="en-US" w:eastAsia="zh-CN"/>
        </w:rPr>
        <w:t>附表7：</w:t>
      </w:r>
    </w:p>
    <w:p>
      <w:pPr>
        <w:snapToGrid w:val="0"/>
        <w:jc w:val="both"/>
        <w:rPr>
          <w:rFonts w:hint="eastAsia" w:eastAsiaTheme="minorEastAsia"/>
          <w:lang w:val="en-US" w:eastAsia="zh-CN"/>
        </w:rPr>
      </w:pPr>
      <w:r>
        <w:rPr>
          <w:rFonts w:hint="eastAsia"/>
          <w:lang w:val="en-US" w:eastAsia="zh-CN"/>
        </w:rPr>
        <w:t>附表10：</w:t>
      </w:r>
    </w:p>
    <w:p>
      <w:pPr>
        <w:snapToGrid w:val="0"/>
        <w:jc w:val="right"/>
        <w:rPr>
          <w:rFonts w:hint="eastAsia" w:ascii="黑体" w:hAnsi="黑体" w:eastAsia="黑体"/>
          <w:sz w:val="24"/>
          <w:szCs w:val="24"/>
        </w:rPr>
      </w:pPr>
      <w:r>
        <w:fldChar w:fldCharType="begin"/>
      </w:r>
      <w:r>
        <w:instrText xml:space="preserve"> HYPERLINK "file:///C:\\RepTasks2018\\2018年度部门决算报表.TSK\\PARA\\2018年度部门决算报表.htm" \l "返回5" </w:instrText>
      </w:r>
      <w:r>
        <w:fldChar w:fldCharType="separate"/>
      </w:r>
      <w:r>
        <w:rPr>
          <w:rStyle w:val="9"/>
          <w:rFonts w:hint="eastAsia" w:ascii="黑体" w:hAnsi="黑体" w:eastAsia="黑体"/>
          <w:sz w:val="24"/>
          <w:szCs w:val="24"/>
        </w:rPr>
        <w:t>返回</w:t>
      </w:r>
      <w:r>
        <w:rPr>
          <w:rStyle w:val="9"/>
          <w:rFonts w:hint="eastAsia" w:ascii="黑体" w:hAnsi="黑体" w:eastAsia="黑体"/>
          <w:sz w:val="24"/>
          <w:szCs w:val="24"/>
        </w:rPr>
        <w:fldChar w:fldCharType="end"/>
      </w:r>
    </w:p>
    <w:p>
      <w:pPr>
        <w:snapToGrid w:val="0"/>
        <w:jc w:val="right"/>
        <w:rPr>
          <w:rFonts w:hint="eastAsia" w:ascii="黑体" w:hAnsi="黑体" w:eastAsia="黑体"/>
          <w:sz w:val="24"/>
          <w:szCs w:val="24"/>
        </w:rPr>
      </w:pPr>
      <w:r>
        <w:fldChar w:fldCharType="begin"/>
      </w:r>
      <w:r>
        <w:instrText xml:space="preserve"> HYPERLINK "file:///C:\\RepTasks2018\\2018年度部门决算报表.TSK\\PARA\\2018年度部门决算报表.htm" \l "返回5" </w:instrText>
      </w:r>
      <w:r>
        <w:fldChar w:fldCharType="separate"/>
      </w:r>
      <w:r>
        <w:rPr>
          <w:rStyle w:val="9"/>
          <w:rFonts w:hint="eastAsia" w:ascii="黑体" w:hAnsi="黑体" w:eastAsia="黑体"/>
          <w:sz w:val="24"/>
          <w:szCs w:val="24"/>
        </w:rPr>
        <w:t>返回</w:t>
      </w:r>
      <w:r>
        <w:rPr>
          <w:rStyle w:val="9"/>
          <w:rFonts w:hint="eastAsia" w:ascii="黑体" w:hAnsi="黑体" w:eastAsia="黑体"/>
          <w:sz w:val="24"/>
          <w:szCs w:val="24"/>
        </w:rPr>
        <w:fldChar w:fldCharType="end"/>
      </w:r>
    </w:p>
    <w:tbl>
      <w:tblPr>
        <w:tblStyle w:val="6"/>
        <w:tblpPr w:leftFromText="180" w:rightFromText="180" w:vertAnchor="text" w:horzAnchor="page" w:tblpX="1474" w:tblpY="80"/>
        <w:tblOverlap w:val="never"/>
        <w:tblW w:w="14300" w:type="dxa"/>
        <w:tblInd w:w="0" w:type="dxa"/>
        <w:tblLayout w:type="fixed"/>
        <w:tblCellMar>
          <w:top w:w="0" w:type="dxa"/>
          <w:left w:w="108" w:type="dxa"/>
          <w:bottom w:w="0" w:type="dxa"/>
          <w:right w:w="108" w:type="dxa"/>
        </w:tblCellMar>
      </w:tblPr>
      <w:tblGrid>
        <w:gridCol w:w="336"/>
        <w:gridCol w:w="339"/>
        <w:gridCol w:w="338"/>
        <w:gridCol w:w="372"/>
        <w:gridCol w:w="366"/>
        <w:gridCol w:w="336"/>
        <w:gridCol w:w="336"/>
        <w:gridCol w:w="373"/>
        <w:gridCol w:w="240"/>
        <w:gridCol w:w="132"/>
        <w:gridCol w:w="205"/>
        <w:gridCol w:w="161"/>
        <w:gridCol w:w="339"/>
        <w:gridCol w:w="337"/>
        <w:gridCol w:w="174"/>
        <w:gridCol w:w="161"/>
        <w:gridCol w:w="336"/>
        <w:gridCol w:w="338"/>
        <w:gridCol w:w="177"/>
        <w:gridCol w:w="261"/>
        <w:gridCol w:w="366"/>
        <w:gridCol w:w="366"/>
        <w:gridCol w:w="20"/>
        <w:gridCol w:w="319"/>
        <w:gridCol w:w="340"/>
        <w:gridCol w:w="336"/>
        <w:gridCol w:w="18"/>
        <w:gridCol w:w="319"/>
        <w:gridCol w:w="336"/>
        <w:gridCol w:w="337"/>
        <w:gridCol w:w="19"/>
        <w:gridCol w:w="319"/>
        <w:gridCol w:w="338"/>
        <w:gridCol w:w="336"/>
        <w:gridCol w:w="19"/>
        <w:gridCol w:w="319"/>
        <w:gridCol w:w="338"/>
        <w:gridCol w:w="338"/>
        <w:gridCol w:w="16"/>
        <w:gridCol w:w="319"/>
        <w:gridCol w:w="337"/>
        <w:gridCol w:w="336"/>
        <w:gridCol w:w="21"/>
        <w:gridCol w:w="319"/>
        <w:gridCol w:w="375"/>
        <w:gridCol w:w="317"/>
        <w:gridCol w:w="51"/>
        <w:gridCol w:w="338"/>
        <w:gridCol w:w="338"/>
        <w:gridCol w:w="336"/>
        <w:gridCol w:w="337"/>
        <w:gridCol w:w="361"/>
        <w:gridCol w:w="59"/>
      </w:tblGrid>
      <w:tr>
        <w:tblPrEx>
          <w:tblCellMar>
            <w:top w:w="0" w:type="dxa"/>
            <w:left w:w="108" w:type="dxa"/>
            <w:bottom w:w="0" w:type="dxa"/>
            <w:right w:w="108" w:type="dxa"/>
          </w:tblCellMar>
        </w:tblPrEx>
        <w:trPr>
          <w:gridAfter w:val="1"/>
          <w:wAfter w:w="59" w:type="dxa"/>
          <w:trHeight w:val="321" w:hRule="atLeast"/>
        </w:trPr>
        <w:tc>
          <w:tcPr>
            <w:tcW w:w="14241" w:type="dxa"/>
            <w:gridSpan w:val="52"/>
            <w:vAlign w:val="center"/>
          </w:tcPr>
          <w:p>
            <w:pPr>
              <w:widowControl/>
              <w:jc w:val="left"/>
              <w:rPr>
                <w:rFonts w:ascii="黑体" w:hAnsi="黑体" w:eastAsia="黑体" w:cs="宋体"/>
                <w:kern w:val="0"/>
                <w:sz w:val="24"/>
                <w:szCs w:val="24"/>
              </w:rPr>
            </w:pPr>
            <w:bookmarkStart w:id="1" w:name="附表1—11：项目支出明细表"/>
            <w:r>
              <w:rPr>
                <w:rFonts w:hint="eastAsia" w:ascii="黑体" w:hAnsi="黑体" w:eastAsia="黑体" w:cs="宋体"/>
                <w:kern w:val="0"/>
                <w:sz w:val="24"/>
                <w:szCs w:val="24"/>
              </w:rPr>
              <w:t>附表11：</w:t>
            </w:r>
          </w:p>
        </w:tc>
      </w:tr>
      <w:tr>
        <w:tblPrEx>
          <w:tblCellMar>
            <w:top w:w="0" w:type="dxa"/>
            <w:left w:w="108" w:type="dxa"/>
            <w:bottom w:w="0" w:type="dxa"/>
            <w:right w:w="108" w:type="dxa"/>
          </w:tblCellMar>
        </w:tblPrEx>
        <w:trPr>
          <w:gridAfter w:val="1"/>
          <w:wAfter w:w="59" w:type="dxa"/>
          <w:trHeight w:val="321" w:hRule="atLeast"/>
        </w:trPr>
        <w:tc>
          <w:tcPr>
            <w:tcW w:w="14241" w:type="dxa"/>
            <w:gridSpan w:val="52"/>
            <w:noWrap/>
            <w:vAlign w:val="center"/>
          </w:tcPr>
          <w:p>
            <w:pPr>
              <w:widowControl/>
              <w:spacing w:line="80" w:lineRule="atLeast"/>
              <w:jc w:val="center"/>
              <w:rPr>
                <w:rFonts w:ascii="黑体" w:hAnsi="黑体" w:eastAsia="黑体" w:cs="宋体"/>
                <w:kern w:val="0"/>
                <w:sz w:val="24"/>
                <w:szCs w:val="24"/>
              </w:rPr>
            </w:pPr>
            <w:r>
              <w:rPr>
                <w:rFonts w:hint="eastAsia" w:ascii="黑体" w:hAnsi="黑体" w:eastAsia="黑体" w:cs="宋体"/>
                <w:kern w:val="0"/>
                <w:sz w:val="24"/>
                <w:szCs w:val="24"/>
              </w:rPr>
              <w:t>项目支出明细表</w:t>
            </w:r>
          </w:p>
        </w:tc>
      </w:tr>
      <w:bookmarkEnd w:id="1"/>
      <w:tr>
        <w:tblPrEx>
          <w:tblCellMar>
            <w:top w:w="0" w:type="dxa"/>
            <w:left w:w="108" w:type="dxa"/>
            <w:bottom w:w="0" w:type="dxa"/>
            <w:right w:w="108" w:type="dxa"/>
          </w:tblCellMar>
        </w:tblPrEx>
        <w:trPr>
          <w:gridAfter w:val="1"/>
          <w:wAfter w:w="59" w:type="dxa"/>
          <w:trHeight w:val="321" w:hRule="atLeast"/>
        </w:trPr>
        <w:tc>
          <w:tcPr>
            <w:tcW w:w="6409" w:type="dxa"/>
            <w:gridSpan w:val="23"/>
            <w:noWrap/>
            <w:vAlign w:val="center"/>
          </w:tcPr>
          <w:p>
            <w:pPr>
              <w:widowControl/>
              <w:jc w:val="left"/>
              <w:rPr>
                <w:rFonts w:ascii="仿宋" w:hAnsi="仿宋" w:eastAsia="仿宋" w:cs="宋体"/>
                <w:kern w:val="0"/>
                <w:sz w:val="24"/>
                <w:szCs w:val="24"/>
              </w:rPr>
            </w:pPr>
            <w:r>
              <w:rPr>
                <w:rFonts w:hint="eastAsia" w:ascii="仿宋" w:hAnsi="仿宋" w:eastAsia="仿宋" w:cs="宋体"/>
                <w:color w:val="000000"/>
                <w:kern w:val="0"/>
                <w:sz w:val="24"/>
                <w:szCs w:val="24"/>
              </w:rPr>
              <w:t>编制单位：</w:t>
            </w:r>
          </w:p>
        </w:tc>
        <w:tc>
          <w:tcPr>
            <w:tcW w:w="7832" w:type="dxa"/>
            <w:gridSpan w:val="29"/>
            <w:noWrap/>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单位：元</w:t>
            </w:r>
          </w:p>
        </w:tc>
      </w:tr>
      <w:tr>
        <w:tblPrEx>
          <w:tblCellMar>
            <w:top w:w="0" w:type="dxa"/>
            <w:left w:w="108" w:type="dxa"/>
            <w:bottom w:w="0" w:type="dxa"/>
            <w:right w:w="108" w:type="dxa"/>
          </w:tblCellMar>
        </w:tblPrEx>
        <w:trPr>
          <w:gridAfter w:val="1"/>
          <w:wAfter w:w="59" w:type="dxa"/>
          <w:trHeight w:val="3240" w:hRule="atLeast"/>
        </w:trPr>
        <w:tc>
          <w:tcPr>
            <w:tcW w:w="3036" w:type="dxa"/>
            <w:gridSpan w:val="9"/>
            <w:tcBorders>
              <w:top w:val="single" w:color="auto" w:sz="8" w:space="0"/>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    目</w:t>
            </w:r>
          </w:p>
        </w:tc>
        <w:tc>
          <w:tcPr>
            <w:tcW w:w="3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1011" w:type="dxa"/>
            <w:gridSpan w:val="4"/>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工资福利支出</w:t>
            </w:r>
          </w:p>
        </w:tc>
        <w:tc>
          <w:tcPr>
            <w:tcW w:w="1012" w:type="dxa"/>
            <w:gridSpan w:val="4"/>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商品和服务支出</w:t>
            </w:r>
          </w:p>
        </w:tc>
        <w:tc>
          <w:tcPr>
            <w:tcW w:w="1013" w:type="dxa"/>
            <w:gridSpan w:val="4"/>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对个人和家庭的补助</w:t>
            </w:r>
          </w:p>
        </w:tc>
        <w:tc>
          <w:tcPr>
            <w:tcW w:w="1013" w:type="dxa"/>
            <w:gridSpan w:val="4"/>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债务利息及费用支出</w:t>
            </w:r>
          </w:p>
        </w:tc>
        <w:tc>
          <w:tcPr>
            <w:tcW w:w="1011" w:type="dxa"/>
            <w:gridSpan w:val="4"/>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资本性支出（基本建设）</w:t>
            </w:r>
          </w:p>
        </w:tc>
        <w:tc>
          <w:tcPr>
            <w:tcW w:w="1012" w:type="dxa"/>
            <w:gridSpan w:val="4"/>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资本性支出</w:t>
            </w:r>
          </w:p>
        </w:tc>
        <w:tc>
          <w:tcPr>
            <w:tcW w:w="1011" w:type="dxa"/>
            <w:gridSpan w:val="4"/>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对企业补助（基本建设）</w:t>
            </w:r>
          </w:p>
        </w:tc>
        <w:tc>
          <w:tcPr>
            <w:tcW w:w="1013" w:type="dxa"/>
            <w:gridSpan w:val="4"/>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对企业补助</w:t>
            </w:r>
          </w:p>
        </w:tc>
        <w:tc>
          <w:tcPr>
            <w:tcW w:w="1011"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对社会保障基金补助</w:t>
            </w:r>
          </w:p>
        </w:tc>
        <w:tc>
          <w:tcPr>
            <w:tcW w:w="1761" w:type="dxa"/>
            <w:gridSpan w:val="6"/>
            <w:tcBorders>
              <w:top w:val="single" w:color="auto" w:sz="8" w:space="0"/>
              <w:left w:val="nil"/>
              <w:bottom w:val="single" w:color="auto" w:sz="4" w:space="0"/>
              <w:right w:val="single" w:color="000000" w:sz="8"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其他支出</w:t>
            </w:r>
          </w:p>
        </w:tc>
      </w:tr>
      <w:tr>
        <w:tblPrEx>
          <w:tblCellMar>
            <w:top w:w="0" w:type="dxa"/>
            <w:left w:w="108" w:type="dxa"/>
            <w:bottom w:w="0" w:type="dxa"/>
            <w:right w:w="108" w:type="dxa"/>
          </w:tblCellMar>
        </w:tblPrEx>
        <w:trPr>
          <w:trHeight w:val="1298" w:hRule="atLeast"/>
        </w:trPr>
        <w:tc>
          <w:tcPr>
            <w:tcW w:w="1013"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支出功能分类科目编码</w:t>
            </w:r>
          </w:p>
        </w:tc>
        <w:tc>
          <w:tcPr>
            <w:tcW w:w="372"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科目名称（二级项目名称）</w:t>
            </w:r>
          </w:p>
        </w:tc>
        <w:tc>
          <w:tcPr>
            <w:tcW w:w="36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二级项目代码</w:t>
            </w:r>
          </w:p>
        </w:tc>
        <w:tc>
          <w:tcPr>
            <w:tcW w:w="33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二级项目类别</w:t>
            </w:r>
          </w:p>
        </w:tc>
        <w:tc>
          <w:tcPr>
            <w:tcW w:w="70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一级项目</w:t>
            </w:r>
          </w:p>
        </w:tc>
        <w:tc>
          <w:tcPr>
            <w:tcW w:w="37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是否基建项目</w:t>
            </w:r>
          </w:p>
        </w:tc>
        <w:tc>
          <w:tcPr>
            <w:tcW w:w="366" w:type="dxa"/>
            <w:gridSpan w:val="2"/>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小计</w:t>
            </w:r>
          </w:p>
        </w:tc>
        <w:tc>
          <w:tcPr>
            <w:tcW w:w="33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基本工资</w:t>
            </w:r>
          </w:p>
        </w:tc>
        <w:tc>
          <w:tcPr>
            <w:tcW w:w="33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小计</w:t>
            </w:r>
          </w:p>
        </w:tc>
        <w:tc>
          <w:tcPr>
            <w:tcW w:w="33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办公费</w:t>
            </w:r>
          </w:p>
        </w:tc>
        <w:tc>
          <w:tcPr>
            <w:tcW w:w="43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6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小计</w:t>
            </w:r>
          </w:p>
        </w:tc>
        <w:tc>
          <w:tcPr>
            <w:tcW w:w="36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离休费</w:t>
            </w:r>
          </w:p>
        </w:tc>
        <w:tc>
          <w:tcPr>
            <w:tcW w:w="33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4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小计</w:t>
            </w:r>
          </w:p>
        </w:tc>
        <w:tc>
          <w:tcPr>
            <w:tcW w:w="33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国内债务付息</w:t>
            </w:r>
          </w:p>
        </w:tc>
        <w:tc>
          <w:tcPr>
            <w:tcW w:w="33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w:t>
            </w:r>
          </w:p>
        </w:tc>
        <w:tc>
          <w:tcPr>
            <w:tcW w:w="33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小计</w:t>
            </w:r>
          </w:p>
        </w:tc>
        <w:tc>
          <w:tcPr>
            <w:tcW w:w="33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房屋建筑物购建</w:t>
            </w:r>
          </w:p>
        </w:tc>
        <w:tc>
          <w:tcPr>
            <w:tcW w:w="33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w:t>
            </w:r>
          </w:p>
        </w:tc>
        <w:tc>
          <w:tcPr>
            <w:tcW w:w="33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小计</w:t>
            </w:r>
          </w:p>
        </w:tc>
        <w:tc>
          <w:tcPr>
            <w:tcW w:w="33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房屋建筑物购建</w:t>
            </w:r>
          </w:p>
        </w:tc>
        <w:tc>
          <w:tcPr>
            <w:tcW w:w="33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w:t>
            </w:r>
          </w:p>
        </w:tc>
        <w:tc>
          <w:tcPr>
            <w:tcW w:w="33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小计</w:t>
            </w:r>
          </w:p>
        </w:tc>
        <w:tc>
          <w:tcPr>
            <w:tcW w:w="33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资本金注入</w:t>
            </w:r>
          </w:p>
        </w:tc>
        <w:tc>
          <w:tcPr>
            <w:tcW w:w="33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其他对企业补助</w:t>
            </w:r>
          </w:p>
        </w:tc>
        <w:tc>
          <w:tcPr>
            <w:tcW w:w="33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小计</w:t>
            </w:r>
          </w:p>
        </w:tc>
        <w:tc>
          <w:tcPr>
            <w:tcW w:w="33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资本金注入</w:t>
            </w:r>
          </w:p>
        </w:tc>
        <w:tc>
          <w:tcPr>
            <w:tcW w:w="34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w:t>
            </w:r>
          </w:p>
        </w:tc>
        <w:tc>
          <w:tcPr>
            <w:tcW w:w="37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小计</w:t>
            </w:r>
          </w:p>
        </w:tc>
        <w:tc>
          <w:tcPr>
            <w:tcW w:w="36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对社会保险基金补助</w:t>
            </w:r>
          </w:p>
        </w:tc>
        <w:tc>
          <w:tcPr>
            <w:tcW w:w="33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补充全国社会保障基金</w:t>
            </w:r>
          </w:p>
        </w:tc>
        <w:tc>
          <w:tcPr>
            <w:tcW w:w="33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小计</w:t>
            </w:r>
          </w:p>
        </w:tc>
        <w:tc>
          <w:tcPr>
            <w:tcW w:w="33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赠与</w:t>
            </w:r>
          </w:p>
        </w:tc>
        <w:tc>
          <w:tcPr>
            <w:tcW w:w="33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w:t>
            </w:r>
          </w:p>
        </w:tc>
        <w:tc>
          <w:tcPr>
            <w:tcW w:w="420" w:type="dxa"/>
            <w:gridSpan w:val="2"/>
            <w:vMerge w:val="restar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其他支出</w:t>
            </w:r>
          </w:p>
        </w:tc>
      </w:tr>
      <w:tr>
        <w:tblPrEx>
          <w:tblCellMar>
            <w:top w:w="0" w:type="dxa"/>
            <w:left w:w="108" w:type="dxa"/>
            <w:bottom w:w="0" w:type="dxa"/>
            <w:right w:w="108" w:type="dxa"/>
          </w:tblCellMar>
        </w:tblPrEx>
        <w:trPr>
          <w:trHeight w:val="2586" w:hRule="atLeast"/>
        </w:trPr>
        <w:tc>
          <w:tcPr>
            <w:tcW w:w="1013"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项目名称</w:t>
            </w:r>
          </w:p>
        </w:tc>
        <w:tc>
          <w:tcPr>
            <w:tcW w:w="37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项目代码</w:t>
            </w:r>
          </w:p>
        </w:tc>
        <w:tc>
          <w:tcPr>
            <w:tcW w:w="3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4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420" w:type="dxa"/>
            <w:gridSpan w:val="2"/>
            <w:vMerge w:val="continue"/>
            <w:tcBorders>
              <w:top w:val="nil"/>
              <w:left w:val="single" w:color="auto" w:sz="4" w:space="0"/>
              <w:bottom w:val="single" w:color="auto" w:sz="4" w:space="0"/>
              <w:right w:val="single" w:color="auto" w:sz="8"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1170" w:hRule="exact"/>
        </w:trPr>
        <w:tc>
          <w:tcPr>
            <w:tcW w:w="336" w:type="dxa"/>
            <w:vMerge w:val="restart"/>
            <w:tcBorders>
              <w:top w:val="nil"/>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类</w:t>
            </w:r>
          </w:p>
        </w:tc>
        <w:tc>
          <w:tcPr>
            <w:tcW w:w="339" w:type="dxa"/>
            <w:vMerge w:val="restart"/>
            <w:tcBorders>
              <w:top w:val="nil"/>
              <w:left w:val="single" w:color="auto" w:sz="4"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款</w:t>
            </w:r>
          </w:p>
        </w:tc>
        <w:tc>
          <w:tcPr>
            <w:tcW w:w="338" w:type="dxa"/>
            <w:vMerge w:val="restart"/>
            <w:tcBorders>
              <w:top w:val="nil"/>
              <w:left w:val="single" w:color="auto" w:sz="4"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项</w:t>
            </w:r>
          </w:p>
        </w:tc>
        <w:tc>
          <w:tcPr>
            <w:tcW w:w="372"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栏次</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73"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72"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66"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33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17</w:t>
            </w:r>
          </w:p>
        </w:tc>
        <w:tc>
          <w:tcPr>
            <w:tcW w:w="4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44</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33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40"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56</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57</w:t>
            </w:r>
          </w:p>
        </w:tc>
        <w:tc>
          <w:tcPr>
            <w:tcW w:w="337"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61</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62</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74</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75</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91</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92</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93</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94</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340"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75"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36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101</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102</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103</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104</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420" w:type="dxa"/>
            <w:gridSpan w:val="2"/>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107</w:t>
            </w:r>
          </w:p>
        </w:tc>
      </w:tr>
      <w:tr>
        <w:tblPrEx>
          <w:tblCellMar>
            <w:top w:w="0" w:type="dxa"/>
            <w:left w:w="108" w:type="dxa"/>
            <w:bottom w:w="0" w:type="dxa"/>
            <w:right w:w="108" w:type="dxa"/>
          </w:tblCellMar>
        </w:tblPrEx>
        <w:trPr>
          <w:trHeight w:val="654" w:hRule="atLeast"/>
        </w:trPr>
        <w:tc>
          <w:tcPr>
            <w:tcW w:w="336"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72"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合计</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73"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72"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66"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4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40"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7"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40"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75"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6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420" w:type="dxa"/>
            <w:gridSpan w:val="2"/>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526" w:hRule="exact"/>
        </w:trPr>
        <w:tc>
          <w:tcPr>
            <w:tcW w:w="1013"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3"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gridSpan w:val="2"/>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5"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20" w:type="dxa"/>
            <w:gridSpan w:val="2"/>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26" w:hRule="exact"/>
        </w:trPr>
        <w:tc>
          <w:tcPr>
            <w:tcW w:w="1013"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3"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5"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20" w:type="dxa"/>
            <w:gridSpan w:val="2"/>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26" w:hRule="exact"/>
        </w:trPr>
        <w:tc>
          <w:tcPr>
            <w:tcW w:w="1013"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3"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gridSpan w:val="2"/>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5"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20" w:type="dxa"/>
            <w:gridSpan w:val="2"/>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26" w:hRule="exact"/>
        </w:trPr>
        <w:tc>
          <w:tcPr>
            <w:tcW w:w="1013"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3"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gridSpan w:val="2"/>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5"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20" w:type="dxa"/>
            <w:gridSpan w:val="2"/>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26" w:hRule="exact"/>
        </w:trPr>
        <w:tc>
          <w:tcPr>
            <w:tcW w:w="1013"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3"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gridSpan w:val="2"/>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5"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8"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20" w:type="dxa"/>
            <w:gridSpan w:val="2"/>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26" w:hRule="exact"/>
        </w:trPr>
        <w:tc>
          <w:tcPr>
            <w:tcW w:w="1013" w:type="dxa"/>
            <w:gridSpan w:val="3"/>
            <w:tcBorders>
              <w:top w:val="single" w:color="auto" w:sz="4" w:space="0"/>
              <w:left w:val="single" w:color="auto" w:sz="8" w:space="0"/>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3"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72" w:type="dxa"/>
            <w:gridSpan w:val="2"/>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38"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6"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9"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5"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40"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75"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68"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6"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37"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420" w:type="dxa"/>
            <w:gridSpan w:val="2"/>
            <w:tcBorders>
              <w:top w:val="nil"/>
              <w:left w:val="nil"/>
              <w:bottom w:val="single" w:color="auto" w:sz="8"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gridAfter w:val="1"/>
          <w:wAfter w:w="59" w:type="dxa"/>
          <w:trHeight w:val="664" w:hRule="atLeast"/>
        </w:trPr>
        <w:tc>
          <w:tcPr>
            <w:tcW w:w="14241" w:type="dxa"/>
            <w:gridSpan w:val="52"/>
            <w:noWrap/>
            <w:vAlign w:val="center"/>
          </w:tcPr>
          <w:p>
            <w:pPr>
              <w:widowControl/>
              <w:spacing w:line="60" w:lineRule="atLeast"/>
              <w:rPr>
                <w:rFonts w:ascii="仿宋" w:hAnsi="仿宋" w:eastAsia="仿宋" w:cs="宋体"/>
                <w:color w:val="000000"/>
                <w:kern w:val="0"/>
                <w:sz w:val="24"/>
                <w:szCs w:val="24"/>
              </w:rPr>
            </w:pPr>
            <w:r>
              <w:rPr>
                <w:rFonts w:hint="eastAsia" w:ascii="仿宋" w:hAnsi="仿宋" w:eastAsia="仿宋" w:cs="宋体"/>
                <w:color w:val="000000"/>
                <w:kern w:val="0"/>
                <w:sz w:val="24"/>
                <w:szCs w:val="24"/>
              </w:rPr>
              <w:t>注：本表由中央和地方各级预算单位按照本级部门预算管理和行政事业单位会计制度有关支出明细核算规定进行试编。</w:t>
            </w:r>
          </w:p>
        </w:tc>
      </w:tr>
    </w:tbl>
    <w:p>
      <w:pPr>
        <w:snapToGrid w:val="0"/>
        <w:jc w:val="right"/>
        <w:rPr>
          <w:rFonts w:hint="eastAsia" w:ascii="黑体" w:hAnsi="黑体" w:eastAsia="黑体"/>
          <w:sz w:val="24"/>
          <w:szCs w:val="24"/>
        </w:rPr>
      </w:pPr>
      <w:r>
        <w:fldChar w:fldCharType="begin"/>
      </w:r>
      <w:r>
        <w:instrText xml:space="preserve"> HYPERLINK "file:///C:\\RepTasks2018\\2018年度部门决算报表.TSK\\PARA\\2018年度部门决算报表.htm" \l "返回5" </w:instrText>
      </w:r>
      <w:r>
        <w:fldChar w:fldCharType="separate"/>
      </w:r>
      <w:r>
        <w:rPr>
          <w:rStyle w:val="9"/>
          <w:rFonts w:hint="eastAsia" w:ascii="黑体" w:hAnsi="黑体" w:eastAsia="黑体"/>
          <w:sz w:val="24"/>
          <w:szCs w:val="24"/>
        </w:rPr>
        <w:t>返回</w:t>
      </w:r>
      <w:r>
        <w:rPr>
          <w:rStyle w:val="9"/>
          <w:rFonts w:hint="eastAsia" w:ascii="黑体" w:hAnsi="黑体" w:eastAsia="黑体"/>
          <w:sz w:val="24"/>
          <w:szCs w:val="24"/>
        </w:rPr>
        <w:fldChar w:fldCharType="end"/>
      </w:r>
    </w:p>
    <w:p>
      <w:pPr>
        <w:snapToGrid w:val="0"/>
        <w:jc w:val="right"/>
      </w:pPr>
    </w:p>
    <w:p>
      <w:pPr>
        <w:snapToGrid w:val="0"/>
        <w:jc w:val="right"/>
      </w:pPr>
    </w:p>
    <w:p>
      <w:pPr>
        <w:snapToGrid w:val="0"/>
        <w:jc w:val="right"/>
        <w:rPr>
          <w:rFonts w:hint="eastAsia" w:ascii="黑体" w:hAnsi="黑体" w:eastAsia="黑体"/>
          <w:sz w:val="24"/>
          <w:szCs w:val="24"/>
        </w:rPr>
      </w:pPr>
      <w:r>
        <w:fldChar w:fldCharType="begin"/>
      </w:r>
      <w:r>
        <w:instrText xml:space="preserve"> HYPERLINK "file:///C:\\RepTasks2018\\2018年度部门决算报表.TSK\\PARA\\2018年度部门决算报表.htm" \l "返回5" </w:instrText>
      </w:r>
      <w:r>
        <w:fldChar w:fldCharType="separate"/>
      </w:r>
      <w:r>
        <w:rPr>
          <w:rStyle w:val="9"/>
          <w:rFonts w:hint="eastAsia" w:ascii="黑体" w:hAnsi="黑体" w:eastAsia="黑体"/>
          <w:sz w:val="24"/>
          <w:szCs w:val="24"/>
        </w:rPr>
        <w:t>返回</w:t>
      </w:r>
      <w:r>
        <w:rPr>
          <w:rStyle w:val="9"/>
          <w:rFonts w:hint="eastAsia" w:ascii="黑体" w:hAnsi="黑体" w:eastAsia="黑体"/>
          <w:sz w:val="24"/>
          <w:szCs w:val="24"/>
        </w:rPr>
        <w:fldChar w:fldCharType="end"/>
      </w:r>
    </w:p>
    <w:tbl>
      <w:tblPr>
        <w:tblStyle w:val="6"/>
        <w:tblW w:w="14680" w:type="dxa"/>
        <w:tblInd w:w="0" w:type="dxa"/>
        <w:tblLayout w:type="fixed"/>
        <w:tblCellMar>
          <w:top w:w="0" w:type="dxa"/>
          <w:left w:w="108" w:type="dxa"/>
          <w:bottom w:w="0" w:type="dxa"/>
          <w:right w:w="108" w:type="dxa"/>
        </w:tblCellMar>
      </w:tblPr>
      <w:tblGrid>
        <w:gridCol w:w="358"/>
        <w:gridCol w:w="358"/>
        <w:gridCol w:w="358"/>
        <w:gridCol w:w="358"/>
        <w:gridCol w:w="358"/>
        <w:gridCol w:w="358"/>
        <w:gridCol w:w="358"/>
        <w:gridCol w:w="358"/>
        <w:gridCol w:w="358"/>
        <w:gridCol w:w="358"/>
        <w:gridCol w:w="358"/>
        <w:gridCol w:w="358"/>
        <w:gridCol w:w="359"/>
        <w:gridCol w:w="359"/>
        <w:gridCol w:w="358"/>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9"/>
        <w:gridCol w:w="358"/>
        <w:gridCol w:w="358"/>
        <w:gridCol w:w="358"/>
        <w:gridCol w:w="358"/>
        <w:gridCol w:w="358"/>
        <w:gridCol w:w="358"/>
        <w:gridCol w:w="358"/>
      </w:tblGrid>
      <w:tr>
        <w:tblPrEx>
          <w:tblCellMar>
            <w:top w:w="0" w:type="dxa"/>
            <w:left w:w="108" w:type="dxa"/>
            <w:bottom w:w="0" w:type="dxa"/>
            <w:right w:w="108" w:type="dxa"/>
          </w:tblCellMar>
        </w:tblPrEx>
        <w:trPr>
          <w:trHeight w:val="300" w:hRule="atLeast"/>
        </w:trPr>
        <w:tc>
          <w:tcPr>
            <w:tcW w:w="14680" w:type="dxa"/>
            <w:gridSpan w:val="41"/>
            <w:vAlign w:val="center"/>
          </w:tcPr>
          <w:p>
            <w:pPr>
              <w:widowControl/>
              <w:jc w:val="left"/>
              <w:rPr>
                <w:rFonts w:ascii="黑体" w:hAnsi="黑体" w:eastAsia="黑体" w:cs="宋体"/>
                <w:kern w:val="0"/>
                <w:sz w:val="24"/>
                <w:szCs w:val="24"/>
              </w:rPr>
            </w:pPr>
            <w:bookmarkStart w:id="2" w:name="附表1—12：一般公共预算财政拨款项目支出明细表"/>
            <w:r>
              <w:rPr>
                <w:rFonts w:hint="eastAsia" w:ascii="黑体" w:hAnsi="黑体" w:eastAsia="黑体" w:cs="宋体"/>
                <w:kern w:val="0"/>
                <w:sz w:val="24"/>
                <w:szCs w:val="24"/>
              </w:rPr>
              <w:t>附表12：</w:t>
            </w:r>
          </w:p>
        </w:tc>
      </w:tr>
      <w:tr>
        <w:tblPrEx>
          <w:tblCellMar>
            <w:top w:w="0" w:type="dxa"/>
            <w:left w:w="108" w:type="dxa"/>
            <w:bottom w:w="0" w:type="dxa"/>
            <w:right w:w="108" w:type="dxa"/>
          </w:tblCellMar>
        </w:tblPrEx>
        <w:trPr>
          <w:trHeight w:val="80" w:hRule="atLeast"/>
        </w:trPr>
        <w:tc>
          <w:tcPr>
            <w:tcW w:w="14680" w:type="dxa"/>
            <w:gridSpan w:val="41"/>
            <w:vAlign w:val="center"/>
          </w:tcPr>
          <w:p>
            <w:pPr>
              <w:widowControl/>
              <w:spacing w:line="80" w:lineRule="atLeast"/>
              <w:jc w:val="center"/>
              <w:rPr>
                <w:rFonts w:ascii="黑体" w:hAnsi="黑体" w:eastAsia="黑体" w:cs="宋体"/>
                <w:kern w:val="0"/>
                <w:sz w:val="24"/>
                <w:szCs w:val="24"/>
              </w:rPr>
            </w:pPr>
            <w:r>
              <w:rPr>
                <w:rFonts w:hint="eastAsia" w:ascii="黑体" w:hAnsi="黑体" w:eastAsia="黑体" w:cs="宋体"/>
                <w:kern w:val="0"/>
                <w:sz w:val="24"/>
                <w:szCs w:val="24"/>
              </w:rPr>
              <w:t>一般公共预算财政拨款项目支出明细表</w:t>
            </w:r>
          </w:p>
        </w:tc>
      </w:tr>
      <w:bookmarkEnd w:id="2"/>
      <w:tr>
        <w:tblPrEx>
          <w:tblCellMar>
            <w:top w:w="0" w:type="dxa"/>
            <w:left w:w="108" w:type="dxa"/>
            <w:bottom w:w="0" w:type="dxa"/>
            <w:right w:w="108" w:type="dxa"/>
          </w:tblCellMar>
        </w:tblPrEx>
        <w:trPr>
          <w:trHeight w:val="300" w:hRule="atLeast"/>
        </w:trPr>
        <w:tc>
          <w:tcPr>
            <w:tcW w:w="6803" w:type="dxa"/>
            <w:gridSpan w:val="19"/>
            <w:tcBorders>
              <w:top w:val="nil"/>
              <w:left w:val="nil"/>
              <w:bottom w:val="single" w:color="auto" w:sz="8" w:space="0"/>
              <w:right w:val="nil"/>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编制单位：</w:t>
            </w:r>
          </w:p>
        </w:tc>
        <w:tc>
          <w:tcPr>
            <w:tcW w:w="7877" w:type="dxa"/>
            <w:gridSpan w:val="22"/>
            <w:tcBorders>
              <w:top w:val="nil"/>
              <w:left w:val="nil"/>
              <w:bottom w:val="single" w:color="auto" w:sz="8" w:space="0"/>
              <w:right w:val="nil"/>
            </w:tcBorders>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单位：元</w:t>
            </w:r>
          </w:p>
        </w:tc>
      </w:tr>
      <w:tr>
        <w:tblPrEx>
          <w:tblCellMar>
            <w:top w:w="0" w:type="dxa"/>
            <w:left w:w="108" w:type="dxa"/>
            <w:bottom w:w="0" w:type="dxa"/>
            <w:right w:w="108" w:type="dxa"/>
          </w:tblCellMar>
        </w:tblPrEx>
        <w:trPr>
          <w:trHeight w:val="600" w:hRule="atLeast"/>
        </w:trPr>
        <w:tc>
          <w:tcPr>
            <w:tcW w:w="3222" w:type="dxa"/>
            <w:gridSpan w:val="9"/>
            <w:tcBorders>
              <w:top w:val="single" w:color="auto" w:sz="8" w:space="0"/>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    目</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1075"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工资福利支出</w:t>
            </w:r>
          </w:p>
        </w:tc>
        <w:tc>
          <w:tcPr>
            <w:tcW w:w="1074"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商品和服务支出</w:t>
            </w:r>
          </w:p>
        </w:tc>
        <w:tc>
          <w:tcPr>
            <w:tcW w:w="1074"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对个人和家庭的补助</w:t>
            </w:r>
          </w:p>
        </w:tc>
        <w:tc>
          <w:tcPr>
            <w:tcW w:w="1074"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债务利息及费用支出</w:t>
            </w:r>
          </w:p>
        </w:tc>
        <w:tc>
          <w:tcPr>
            <w:tcW w:w="1074"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资本性支出（基本建设）</w:t>
            </w:r>
          </w:p>
        </w:tc>
        <w:tc>
          <w:tcPr>
            <w:tcW w:w="1074"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资本性支出</w:t>
            </w:r>
          </w:p>
        </w:tc>
        <w:tc>
          <w:tcPr>
            <w:tcW w:w="1074"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对企业补助（基本建设）</w:t>
            </w:r>
          </w:p>
        </w:tc>
        <w:tc>
          <w:tcPr>
            <w:tcW w:w="1075"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对企业补助</w:t>
            </w:r>
          </w:p>
        </w:tc>
        <w:tc>
          <w:tcPr>
            <w:tcW w:w="1074"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对社会保障基金补助</w:t>
            </w:r>
          </w:p>
        </w:tc>
        <w:tc>
          <w:tcPr>
            <w:tcW w:w="1432" w:type="dxa"/>
            <w:gridSpan w:val="4"/>
            <w:tcBorders>
              <w:top w:val="single" w:color="auto" w:sz="8" w:space="0"/>
              <w:left w:val="nil"/>
              <w:bottom w:val="single" w:color="auto" w:sz="4" w:space="0"/>
              <w:right w:val="single" w:color="000000" w:sz="8"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其他支出</w:t>
            </w:r>
          </w:p>
        </w:tc>
      </w:tr>
      <w:tr>
        <w:tblPrEx>
          <w:tblCellMar>
            <w:top w:w="0" w:type="dxa"/>
            <w:left w:w="108" w:type="dxa"/>
            <w:bottom w:w="0" w:type="dxa"/>
            <w:right w:w="108" w:type="dxa"/>
          </w:tblCellMar>
        </w:tblPrEx>
        <w:trPr>
          <w:trHeight w:val="300" w:hRule="atLeast"/>
        </w:trPr>
        <w:tc>
          <w:tcPr>
            <w:tcW w:w="1074"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支出功能分类科目编码</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科目名称（二级项目名称）</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二级项目代码</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二级项目类别</w:t>
            </w:r>
          </w:p>
        </w:tc>
        <w:tc>
          <w:tcPr>
            <w:tcW w:w="716"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一级项目</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是否基建项目</w:t>
            </w: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基本工资</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办公费</w:t>
            </w:r>
          </w:p>
        </w:tc>
        <w:tc>
          <w:tcPr>
            <w:tcW w:w="35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离休费</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国内债务付息</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房屋建筑物购建</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房屋建筑物购建</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资本金注入</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其他对企业补助</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资本金注入</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对社会保险基金补助</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补充全国社会保障基金</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赠与</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w:t>
            </w:r>
          </w:p>
        </w:tc>
        <w:tc>
          <w:tcPr>
            <w:tcW w:w="358" w:type="dxa"/>
            <w:vMerge w:val="restar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其他支出</w:t>
            </w:r>
          </w:p>
        </w:tc>
      </w:tr>
      <w:tr>
        <w:tblPrEx>
          <w:tblCellMar>
            <w:top w:w="0" w:type="dxa"/>
            <w:left w:w="108" w:type="dxa"/>
            <w:bottom w:w="0" w:type="dxa"/>
            <w:right w:w="108" w:type="dxa"/>
          </w:tblCellMar>
        </w:tblPrEx>
        <w:trPr>
          <w:trHeight w:val="2400" w:hRule="atLeast"/>
        </w:trPr>
        <w:tc>
          <w:tcPr>
            <w:tcW w:w="1074"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项目名称</w:t>
            </w:r>
          </w:p>
        </w:tc>
        <w:tc>
          <w:tcPr>
            <w:tcW w:w="3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项目代码</w:t>
            </w: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358" w:type="dxa"/>
            <w:vMerge w:val="continue"/>
            <w:tcBorders>
              <w:top w:val="nil"/>
              <w:left w:val="single" w:color="auto" w:sz="4" w:space="0"/>
              <w:bottom w:val="single" w:color="auto" w:sz="4" w:space="0"/>
              <w:right w:val="single" w:color="auto" w:sz="8"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70" w:hRule="atLeast"/>
        </w:trPr>
        <w:tc>
          <w:tcPr>
            <w:tcW w:w="358" w:type="dxa"/>
            <w:vMerge w:val="restart"/>
            <w:tcBorders>
              <w:top w:val="nil"/>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类</w:t>
            </w:r>
          </w:p>
        </w:tc>
        <w:tc>
          <w:tcPr>
            <w:tcW w:w="358" w:type="dxa"/>
            <w:vMerge w:val="restart"/>
            <w:tcBorders>
              <w:top w:val="nil"/>
              <w:left w:val="single" w:color="auto" w:sz="4"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款</w:t>
            </w:r>
          </w:p>
        </w:tc>
        <w:tc>
          <w:tcPr>
            <w:tcW w:w="358" w:type="dxa"/>
            <w:vMerge w:val="restart"/>
            <w:tcBorders>
              <w:top w:val="nil"/>
              <w:left w:val="single" w:color="auto" w:sz="4"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项</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栏次</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44</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45</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56</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57</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61</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62</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74</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75</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91</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92</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93</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94</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95</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101</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102</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103</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104</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107</w:t>
            </w:r>
          </w:p>
        </w:tc>
      </w:tr>
      <w:tr>
        <w:tblPrEx>
          <w:tblCellMar>
            <w:top w:w="0" w:type="dxa"/>
            <w:left w:w="108" w:type="dxa"/>
            <w:bottom w:w="0" w:type="dxa"/>
            <w:right w:w="108" w:type="dxa"/>
          </w:tblCellMar>
        </w:tblPrEx>
        <w:trPr>
          <w:trHeight w:val="70" w:hRule="atLeast"/>
        </w:trPr>
        <w:tc>
          <w:tcPr>
            <w:tcW w:w="358"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70" w:hRule="atLeast"/>
        </w:trPr>
        <w:tc>
          <w:tcPr>
            <w:tcW w:w="1074"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70" w:hRule="atLeast"/>
        </w:trPr>
        <w:tc>
          <w:tcPr>
            <w:tcW w:w="1074"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70" w:hRule="atLeast"/>
        </w:trPr>
        <w:tc>
          <w:tcPr>
            <w:tcW w:w="1074"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70" w:hRule="atLeast"/>
        </w:trPr>
        <w:tc>
          <w:tcPr>
            <w:tcW w:w="1074"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70" w:hRule="atLeast"/>
        </w:trPr>
        <w:tc>
          <w:tcPr>
            <w:tcW w:w="1074"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70" w:hRule="atLeast"/>
        </w:trPr>
        <w:tc>
          <w:tcPr>
            <w:tcW w:w="1074" w:type="dxa"/>
            <w:gridSpan w:val="3"/>
            <w:tcBorders>
              <w:top w:val="single" w:color="auto" w:sz="4" w:space="0"/>
              <w:left w:val="single" w:color="auto" w:sz="8" w:space="0"/>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 w:hRule="atLeast"/>
        </w:trPr>
        <w:tc>
          <w:tcPr>
            <w:tcW w:w="14680" w:type="dxa"/>
            <w:gridSpan w:val="41"/>
            <w:vAlign w:val="center"/>
          </w:tcPr>
          <w:p>
            <w:pPr>
              <w:widowControl/>
              <w:spacing w:line="60" w:lineRule="atLeast"/>
              <w:rPr>
                <w:rFonts w:ascii="仿宋" w:hAnsi="仿宋" w:eastAsia="仿宋" w:cs="宋体"/>
                <w:color w:val="000000"/>
                <w:kern w:val="0"/>
                <w:sz w:val="24"/>
                <w:szCs w:val="24"/>
              </w:rPr>
            </w:pPr>
            <w:r>
              <w:rPr>
                <w:rFonts w:hint="eastAsia" w:ascii="仿宋" w:hAnsi="仿宋" w:eastAsia="仿宋" w:cs="宋体"/>
                <w:color w:val="000000"/>
                <w:kern w:val="0"/>
                <w:sz w:val="24"/>
                <w:szCs w:val="24"/>
              </w:rPr>
              <w:t>注：本表由中央和地方各级预算单位按照本级部门预算管理和行政事业单位会计制度有关支出明细核算规定进行试编。</w:t>
            </w:r>
          </w:p>
        </w:tc>
      </w:tr>
    </w:tbl>
    <w:p>
      <w:pPr>
        <w:snapToGrid w:val="0"/>
        <w:jc w:val="right"/>
      </w:pPr>
    </w:p>
    <w:p>
      <w:pPr>
        <w:snapToGrid w:val="0"/>
        <w:jc w:val="right"/>
      </w:pPr>
    </w:p>
    <w:p>
      <w:pPr>
        <w:snapToGrid w:val="0"/>
        <w:jc w:val="right"/>
      </w:pPr>
    </w:p>
    <w:p>
      <w:pPr>
        <w:snapToGrid w:val="0"/>
        <w:jc w:val="right"/>
      </w:pPr>
    </w:p>
    <w:p>
      <w:pPr>
        <w:snapToGrid w:val="0"/>
        <w:jc w:val="right"/>
      </w:pPr>
    </w:p>
    <w:p>
      <w:pPr>
        <w:snapToGrid w:val="0"/>
        <w:jc w:val="right"/>
      </w:pPr>
    </w:p>
    <w:p>
      <w:pPr>
        <w:snapToGrid w:val="0"/>
        <w:jc w:val="right"/>
      </w:pPr>
    </w:p>
    <w:p>
      <w:pPr>
        <w:snapToGrid w:val="0"/>
        <w:jc w:val="right"/>
      </w:pPr>
    </w:p>
    <w:p>
      <w:pPr>
        <w:snapToGrid w:val="0"/>
        <w:jc w:val="right"/>
        <w:rPr>
          <w:rFonts w:hint="eastAsia" w:ascii="黑体" w:hAnsi="黑体" w:eastAsia="黑体"/>
          <w:sz w:val="24"/>
          <w:szCs w:val="24"/>
        </w:rPr>
      </w:pPr>
      <w:r>
        <w:fldChar w:fldCharType="begin"/>
      </w:r>
      <w:r>
        <w:instrText xml:space="preserve"> HYPERLINK "file:///C:\\RepTasks2018\\2018年度部门决算报表.TSK\\PARA\\2018年度部门决算报表.htm" \l "返回5" </w:instrText>
      </w:r>
      <w:r>
        <w:fldChar w:fldCharType="separate"/>
      </w:r>
      <w:r>
        <w:rPr>
          <w:rStyle w:val="9"/>
          <w:rFonts w:hint="eastAsia" w:ascii="黑体" w:hAnsi="黑体" w:eastAsia="黑体"/>
          <w:sz w:val="24"/>
          <w:szCs w:val="24"/>
        </w:rPr>
        <w:t>返回</w:t>
      </w:r>
      <w:r>
        <w:rPr>
          <w:rStyle w:val="9"/>
          <w:rFonts w:hint="eastAsia" w:ascii="黑体" w:hAnsi="黑体" w:eastAsia="黑体"/>
          <w:sz w:val="24"/>
          <w:szCs w:val="24"/>
        </w:rPr>
        <w:fldChar w:fldCharType="end"/>
      </w:r>
    </w:p>
    <w:tbl>
      <w:tblPr>
        <w:tblStyle w:val="6"/>
        <w:tblW w:w="14700" w:type="dxa"/>
        <w:tblInd w:w="0" w:type="dxa"/>
        <w:tblLayout w:type="fixed"/>
        <w:tblCellMar>
          <w:top w:w="0" w:type="dxa"/>
          <w:left w:w="108" w:type="dxa"/>
          <w:bottom w:w="0" w:type="dxa"/>
          <w:right w:w="108" w:type="dxa"/>
        </w:tblCellMar>
      </w:tblPr>
      <w:tblGrid>
        <w:gridCol w:w="359"/>
        <w:gridCol w:w="358"/>
        <w:gridCol w:w="359"/>
        <w:gridCol w:w="358"/>
        <w:gridCol w:w="359"/>
        <w:gridCol w:w="358"/>
        <w:gridCol w:w="359"/>
        <w:gridCol w:w="358"/>
        <w:gridCol w:w="359"/>
        <w:gridCol w:w="358"/>
        <w:gridCol w:w="359"/>
        <w:gridCol w:w="358"/>
        <w:gridCol w:w="359"/>
        <w:gridCol w:w="359"/>
        <w:gridCol w:w="358"/>
        <w:gridCol w:w="359"/>
        <w:gridCol w:w="359"/>
        <w:gridCol w:w="359"/>
        <w:gridCol w:w="357"/>
        <w:gridCol w:w="358"/>
        <w:gridCol w:w="1"/>
        <w:gridCol w:w="358"/>
        <w:gridCol w:w="359"/>
        <w:gridCol w:w="358"/>
        <w:gridCol w:w="359"/>
        <w:gridCol w:w="358"/>
        <w:gridCol w:w="358"/>
        <w:gridCol w:w="359"/>
        <w:gridCol w:w="359"/>
        <w:gridCol w:w="358"/>
        <w:gridCol w:w="359"/>
        <w:gridCol w:w="359"/>
        <w:gridCol w:w="358"/>
        <w:gridCol w:w="359"/>
        <w:gridCol w:w="358"/>
        <w:gridCol w:w="358"/>
        <w:gridCol w:w="359"/>
        <w:gridCol w:w="359"/>
        <w:gridCol w:w="358"/>
        <w:gridCol w:w="359"/>
        <w:gridCol w:w="359"/>
        <w:gridCol w:w="358"/>
      </w:tblGrid>
      <w:tr>
        <w:tblPrEx>
          <w:tblCellMar>
            <w:top w:w="0" w:type="dxa"/>
            <w:left w:w="108" w:type="dxa"/>
            <w:bottom w:w="0" w:type="dxa"/>
            <w:right w:w="108" w:type="dxa"/>
          </w:tblCellMar>
        </w:tblPrEx>
        <w:trPr>
          <w:trHeight w:val="320" w:hRule="atLeast"/>
        </w:trPr>
        <w:tc>
          <w:tcPr>
            <w:tcW w:w="14700" w:type="dxa"/>
            <w:gridSpan w:val="42"/>
            <w:vAlign w:val="center"/>
          </w:tcPr>
          <w:p>
            <w:pPr>
              <w:widowControl/>
              <w:jc w:val="left"/>
              <w:rPr>
                <w:rFonts w:ascii="黑体" w:hAnsi="黑体" w:eastAsia="黑体" w:cs="宋体"/>
                <w:kern w:val="0"/>
                <w:sz w:val="24"/>
                <w:szCs w:val="24"/>
              </w:rPr>
            </w:pPr>
            <w:bookmarkStart w:id="3" w:name="附表1—13：政府性基金预算财政拨款项目支出明细表"/>
            <w:r>
              <w:rPr>
                <w:rFonts w:hint="eastAsia" w:ascii="黑体" w:hAnsi="黑体" w:eastAsia="黑体" w:cs="宋体"/>
                <w:kern w:val="0"/>
                <w:sz w:val="24"/>
                <w:szCs w:val="24"/>
              </w:rPr>
              <w:t>附表13：</w:t>
            </w:r>
          </w:p>
        </w:tc>
      </w:tr>
      <w:tr>
        <w:tblPrEx>
          <w:tblCellMar>
            <w:top w:w="0" w:type="dxa"/>
            <w:left w:w="108" w:type="dxa"/>
            <w:bottom w:w="0" w:type="dxa"/>
            <w:right w:w="108" w:type="dxa"/>
          </w:tblCellMar>
        </w:tblPrEx>
        <w:trPr>
          <w:trHeight w:val="320" w:hRule="atLeast"/>
        </w:trPr>
        <w:tc>
          <w:tcPr>
            <w:tcW w:w="14700" w:type="dxa"/>
            <w:gridSpan w:val="42"/>
            <w:vAlign w:val="center"/>
          </w:tcPr>
          <w:p>
            <w:pPr>
              <w:widowControl/>
              <w:spacing w:line="80" w:lineRule="atLeast"/>
              <w:jc w:val="center"/>
              <w:rPr>
                <w:rFonts w:ascii="黑体" w:hAnsi="黑体" w:eastAsia="黑体" w:cs="宋体"/>
                <w:kern w:val="0"/>
                <w:sz w:val="24"/>
                <w:szCs w:val="24"/>
              </w:rPr>
            </w:pPr>
            <w:r>
              <w:rPr>
                <w:rFonts w:hint="eastAsia" w:ascii="黑体" w:hAnsi="黑体" w:eastAsia="黑体" w:cs="宋体"/>
                <w:kern w:val="0"/>
                <w:sz w:val="24"/>
                <w:szCs w:val="24"/>
              </w:rPr>
              <w:t>政府性基金预算财政拨款项目支出明细表</w:t>
            </w:r>
          </w:p>
        </w:tc>
      </w:tr>
      <w:bookmarkEnd w:id="3"/>
      <w:tr>
        <w:tblPrEx>
          <w:tblCellMar>
            <w:top w:w="0" w:type="dxa"/>
            <w:left w:w="108" w:type="dxa"/>
            <w:bottom w:w="0" w:type="dxa"/>
            <w:right w:w="108" w:type="dxa"/>
          </w:tblCellMar>
        </w:tblPrEx>
        <w:trPr>
          <w:trHeight w:val="320" w:hRule="atLeast"/>
        </w:trPr>
        <w:tc>
          <w:tcPr>
            <w:tcW w:w="7171" w:type="dxa"/>
            <w:gridSpan w:val="21"/>
            <w:tcBorders>
              <w:top w:val="nil"/>
              <w:left w:val="nil"/>
              <w:bottom w:val="single" w:color="auto" w:sz="8" w:space="0"/>
              <w:right w:val="nil"/>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编制单位：</w:t>
            </w:r>
          </w:p>
        </w:tc>
        <w:tc>
          <w:tcPr>
            <w:tcW w:w="7529" w:type="dxa"/>
            <w:gridSpan w:val="21"/>
            <w:tcBorders>
              <w:top w:val="nil"/>
              <w:left w:val="nil"/>
              <w:bottom w:val="single" w:color="auto" w:sz="8" w:space="0"/>
              <w:right w:val="nil"/>
            </w:tcBorders>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单位：元</w:t>
            </w:r>
          </w:p>
        </w:tc>
      </w:tr>
      <w:tr>
        <w:tblPrEx>
          <w:tblCellMar>
            <w:top w:w="0" w:type="dxa"/>
            <w:left w:w="108" w:type="dxa"/>
            <w:bottom w:w="0" w:type="dxa"/>
            <w:right w:w="108" w:type="dxa"/>
          </w:tblCellMar>
        </w:tblPrEx>
        <w:trPr>
          <w:trHeight w:val="3226" w:hRule="atLeast"/>
        </w:trPr>
        <w:tc>
          <w:tcPr>
            <w:tcW w:w="3227" w:type="dxa"/>
            <w:gridSpan w:val="9"/>
            <w:tcBorders>
              <w:top w:val="single" w:color="auto" w:sz="8" w:space="0"/>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    目</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1076"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工资福利支出</w:t>
            </w:r>
          </w:p>
        </w:tc>
        <w:tc>
          <w:tcPr>
            <w:tcW w:w="1076"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商品和服务支出</w:t>
            </w:r>
          </w:p>
        </w:tc>
        <w:tc>
          <w:tcPr>
            <w:tcW w:w="1075"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对个人和家庭的补助</w:t>
            </w:r>
          </w:p>
        </w:tc>
        <w:tc>
          <w:tcPr>
            <w:tcW w:w="1076" w:type="dxa"/>
            <w:gridSpan w:val="4"/>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债务利息及费用支出</w:t>
            </w:r>
          </w:p>
        </w:tc>
        <w:tc>
          <w:tcPr>
            <w:tcW w:w="1075"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资本性支出（基本建设）</w:t>
            </w:r>
          </w:p>
        </w:tc>
        <w:tc>
          <w:tcPr>
            <w:tcW w:w="1076"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资本性支出</w:t>
            </w:r>
          </w:p>
        </w:tc>
        <w:tc>
          <w:tcPr>
            <w:tcW w:w="1076"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对企业补助（基本建设）</w:t>
            </w:r>
          </w:p>
        </w:tc>
        <w:tc>
          <w:tcPr>
            <w:tcW w:w="1075"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对企业补助</w:t>
            </w:r>
          </w:p>
        </w:tc>
        <w:tc>
          <w:tcPr>
            <w:tcW w:w="1076" w:type="dxa"/>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对社会保障基金补助</w:t>
            </w:r>
          </w:p>
        </w:tc>
        <w:tc>
          <w:tcPr>
            <w:tcW w:w="1434" w:type="dxa"/>
            <w:gridSpan w:val="4"/>
            <w:tcBorders>
              <w:top w:val="single" w:color="auto" w:sz="8" w:space="0"/>
              <w:left w:val="nil"/>
              <w:bottom w:val="single" w:color="auto" w:sz="4" w:space="0"/>
              <w:right w:val="single" w:color="000000" w:sz="8"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其他支出</w:t>
            </w:r>
          </w:p>
        </w:tc>
      </w:tr>
      <w:tr>
        <w:tblPrEx>
          <w:tblCellMar>
            <w:top w:w="0" w:type="dxa"/>
            <w:left w:w="108" w:type="dxa"/>
            <w:bottom w:w="0" w:type="dxa"/>
            <w:right w:w="108" w:type="dxa"/>
          </w:tblCellMar>
        </w:tblPrEx>
        <w:trPr>
          <w:trHeight w:val="330" w:hRule="atLeast"/>
        </w:trPr>
        <w:tc>
          <w:tcPr>
            <w:tcW w:w="1076"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支出功能分类科目编码</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科目名称（二级项目名称）</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二级项目代码</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二级项目类别</w:t>
            </w:r>
          </w:p>
        </w:tc>
        <w:tc>
          <w:tcPr>
            <w:tcW w:w="717"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一级项目</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是否基建项目</w:t>
            </w: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基本工资</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办公费</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离休费</w:t>
            </w:r>
          </w:p>
        </w:tc>
        <w:tc>
          <w:tcPr>
            <w:tcW w:w="35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小计</w:t>
            </w:r>
          </w:p>
        </w:tc>
        <w:tc>
          <w:tcPr>
            <w:tcW w:w="35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国内债务付息</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房屋建筑物购建</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房屋建筑物购建</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小计</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资本金注入</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其他对企业补助</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小计</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资本金注入</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小计</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对社会保险基金补助</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补充全国社会保障基金</w:t>
            </w:r>
          </w:p>
        </w:tc>
        <w:tc>
          <w:tcPr>
            <w:tcW w:w="3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小计</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赠与</w:t>
            </w:r>
          </w:p>
        </w:tc>
        <w:tc>
          <w:tcPr>
            <w:tcW w:w="35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szCs w:val="24"/>
              </w:rPr>
            </w:pPr>
            <w:r>
              <w:rPr>
                <w:rFonts w:hint="eastAsia" w:ascii="仿宋" w:hAnsi="仿宋" w:eastAsia="仿宋" w:cs="宋体"/>
                <w:bCs/>
                <w:kern w:val="0"/>
                <w:sz w:val="24"/>
                <w:szCs w:val="24"/>
              </w:rPr>
              <w:t>…</w:t>
            </w:r>
          </w:p>
        </w:tc>
        <w:tc>
          <w:tcPr>
            <w:tcW w:w="358" w:type="dxa"/>
            <w:vMerge w:val="restart"/>
            <w:tcBorders>
              <w:top w:val="nil"/>
              <w:left w:val="single" w:color="auto" w:sz="4" w:space="0"/>
              <w:bottom w:val="single" w:color="auto" w:sz="4" w:space="0"/>
              <w:right w:val="single" w:color="auto" w:sz="8"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其他支出</w:t>
            </w:r>
          </w:p>
        </w:tc>
      </w:tr>
      <w:tr>
        <w:tblPrEx>
          <w:tblCellMar>
            <w:top w:w="0" w:type="dxa"/>
            <w:left w:w="108" w:type="dxa"/>
            <w:bottom w:w="0" w:type="dxa"/>
            <w:right w:w="108" w:type="dxa"/>
          </w:tblCellMar>
        </w:tblPrEx>
        <w:trPr>
          <w:trHeight w:val="2564" w:hRule="atLeast"/>
        </w:trPr>
        <w:tc>
          <w:tcPr>
            <w:tcW w:w="1076"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项目名称</w:t>
            </w:r>
          </w:p>
        </w:tc>
        <w:tc>
          <w:tcPr>
            <w:tcW w:w="35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项目代码</w:t>
            </w: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szCs w:val="24"/>
              </w:rPr>
            </w:pPr>
          </w:p>
        </w:tc>
        <w:tc>
          <w:tcPr>
            <w:tcW w:w="358" w:type="dxa"/>
            <w:vMerge w:val="continue"/>
            <w:tcBorders>
              <w:top w:val="nil"/>
              <w:left w:val="single" w:color="auto" w:sz="4" w:space="0"/>
              <w:bottom w:val="single" w:color="auto" w:sz="4" w:space="0"/>
              <w:right w:val="single" w:color="auto" w:sz="8"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972" w:hRule="atLeast"/>
        </w:trPr>
        <w:tc>
          <w:tcPr>
            <w:tcW w:w="359" w:type="dxa"/>
            <w:vMerge w:val="restart"/>
            <w:tcBorders>
              <w:top w:val="nil"/>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类</w:t>
            </w:r>
          </w:p>
        </w:tc>
        <w:tc>
          <w:tcPr>
            <w:tcW w:w="358" w:type="dxa"/>
            <w:vMerge w:val="restart"/>
            <w:tcBorders>
              <w:top w:val="nil"/>
              <w:left w:val="single" w:color="auto" w:sz="4"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款</w:t>
            </w:r>
          </w:p>
        </w:tc>
        <w:tc>
          <w:tcPr>
            <w:tcW w:w="359" w:type="dxa"/>
            <w:vMerge w:val="restart"/>
            <w:tcBorders>
              <w:top w:val="nil"/>
              <w:left w:val="single" w:color="auto" w:sz="4"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项</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栏次</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44</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45</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56</w:t>
            </w:r>
          </w:p>
        </w:tc>
        <w:tc>
          <w:tcPr>
            <w:tcW w:w="35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57</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61</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62</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74</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75</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91</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92</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93</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94</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95</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101</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102</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103</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104</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107</w:t>
            </w:r>
          </w:p>
        </w:tc>
      </w:tr>
      <w:tr>
        <w:tblPrEx>
          <w:tblCellMar>
            <w:top w:w="0" w:type="dxa"/>
            <w:left w:w="108" w:type="dxa"/>
            <w:bottom w:w="0" w:type="dxa"/>
            <w:right w:w="108" w:type="dxa"/>
          </w:tblCellMar>
        </w:tblPrEx>
        <w:trPr>
          <w:trHeight w:val="651" w:hRule="atLeast"/>
        </w:trPr>
        <w:tc>
          <w:tcPr>
            <w:tcW w:w="359" w:type="dxa"/>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30" w:hRule="atLeast"/>
        </w:trPr>
        <w:tc>
          <w:tcPr>
            <w:tcW w:w="1076"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30" w:hRule="atLeast"/>
        </w:trPr>
        <w:tc>
          <w:tcPr>
            <w:tcW w:w="1076"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30" w:hRule="atLeast"/>
        </w:trPr>
        <w:tc>
          <w:tcPr>
            <w:tcW w:w="1076"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30" w:hRule="atLeast"/>
        </w:trPr>
        <w:tc>
          <w:tcPr>
            <w:tcW w:w="1076"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30" w:hRule="atLeast"/>
        </w:trPr>
        <w:tc>
          <w:tcPr>
            <w:tcW w:w="1076" w:type="dxa"/>
            <w:gridSpan w:val="3"/>
            <w:tcBorders>
              <w:top w:val="single" w:color="auto" w:sz="4" w:space="0"/>
              <w:left w:val="single" w:color="auto" w:sz="8" w:space="0"/>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gridSpan w:val="2"/>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4"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4"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30" w:hRule="atLeast"/>
        </w:trPr>
        <w:tc>
          <w:tcPr>
            <w:tcW w:w="1076" w:type="dxa"/>
            <w:gridSpan w:val="3"/>
            <w:tcBorders>
              <w:top w:val="single" w:color="auto" w:sz="4" w:space="0"/>
              <w:left w:val="single" w:color="auto" w:sz="8" w:space="0"/>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7"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gridSpan w:val="2"/>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9" w:type="dxa"/>
            <w:tcBorders>
              <w:top w:val="nil"/>
              <w:left w:val="nil"/>
              <w:bottom w:val="single" w:color="auto" w:sz="8" w:space="0"/>
              <w:right w:val="single" w:color="auto" w:sz="4"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358" w:type="dxa"/>
            <w:tcBorders>
              <w:top w:val="nil"/>
              <w:left w:val="nil"/>
              <w:bottom w:val="single" w:color="auto" w:sz="8" w:space="0"/>
              <w:right w:val="single" w:color="auto" w:sz="8" w:space="0"/>
            </w:tcBorders>
            <w:vAlign w:val="center"/>
          </w:tcPr>
          <w:p>
            <w:pPr>
              <w:widowControl/>
              <w:spacing w:line="70" w:lineRule="atLeast"/>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61" w:hRule="atLeast"/>
        </w:trPr>
        <w:tc>
          <w:tcPr>
            <w:tcW w:w="14700" w:type="dxa"/>
            <w:gridSpan w:val="42"/>
            <w:vAlign w:val="center"/>
          </w:tcPr>
          <w:p>
            <w:pPr>
              <w:widowControl/>
              <w:spacing w:line="60" w:lineRule="atLeast"/>
              <w:rPr>
                <w:rFonts w:ascii="仿宋" w:hAnsi="仿宋" w:eastAsia="仿宋" w:cs="宋体"/>
                <w:color w:val="000000"/>
                <w:kern w:val="0"/>
                <w:sz w:val="24"/>
                <w:szCs w:val="24"/>
              </w:rPr>
            </w:pPr>
            <w:r>
              <w:rPr>
                <w:rFonts w:hint="eastAsia" w:ascii="仿宋" w:hAnsi="仿宋" w:eastAsia="仿宋" w:cs="宋体"/>
                <w:color w:val="000000"/>
                <w:kern w:val="0"/>
                <w:sz w:val="24"/>
                <w:szCs w:val="24"/>
              </w:rPr>
              <w:t>注：本表由中央和地方各级预算单位按照本级部门预算管理和行政事业单位会计制度有关支出明细核算规定进行试编。</w:t>
            </w:r>
          </w:p>
        </w:tc>
      </w:tr>
    </w:tbl>
    <w:p>
      <w:pPr>
        <w:rPr>
          <w:rFonts w:hint="eastAsia"/>
        </w:rPr>
      </w:pPr>
    </w:p>
    <w:sectPr>
      <w:pgSz w:w="16783" w:h="11850" w:orient="landscape"/>
      <w:pgMar w:top="1349" w:right="1100" w:bottom="1349" w:left="10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238B02"/>
    <w:multiLevelType w:val="singleLevel"/>
    <w:tmpl w:val="D8238B0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C3"/>
    <w:rsid w:val="007848B0"/>
    <w:rsid w:val="00C327C3"/>
    <w:rsid w:val="01B24361"/>
    <w:rsid w:val="022A2CEF"/>
    <w:rsid w:val="06F173ED"/>
    <w:rsid w:val="07E4506F"/>
    <w:rsid w:val="0D752311"/>
    <w:rsid w:val="0D7F552D"/>
    <w:rsid w:val="0DFB5707"/>
    <w:rsid w:val="10BD6A74"/>
    <w:rsid w:val="14E97DC1"/>
    <w:rsid w:val="1A5B6C86"/>
    <w:rsid w:val="1AE50A87"/>
    <w:rsid w:val="1B724FAE"/>
    <w:rsid w:val="1FEF09B4"/>
    <w:rsid w:val="20CB1C9D"/>
    <w:rsid w:val="226F1FB4"/>
    <w:rsid w:val="24DB2051"/>
    <w:rsid w:val="27EC07F4"/>
    <w:rsid w:val="29FE7AA9"/>
    <w:rsid w:val="2A2426EB"/>
    <w:rsid w:val="303B627B"/>
    <w:rsid w:val="32472899"/>
    <w:rsid w:val="37CC1EA6"/>
    <w:rsid w:val="38D50FA0"/>
    <w:rsid w:val="38E15B8A"/>
    <w:rsid w:val="396E3906"/>
    <w:rsid w:val="3ABF38D9"/>
    <w:rsid w:val="447541AE"/>
    <w:rsid w:val="45576BC2"/>
    <w:rsid w:val="47165B64"/>
    <w:rsid w:val="49950B48"/>
    <w:rsid w:val="49DF7CF7"/>
    <w:rsid w:val="4A0C6CD6"/>
    <w:rsid w:val="4BC121D0"/>
    <w:rsid w:val="4DE95EEE"/>
    <w:rsid w:val="501E2A33"/>
    <w:rsid w:val="530906C1"/>
    <w:rsid w:val="55596CB9"/>
    <w:rsid w:val="5B35273E"/>
    <w:rsid w:val="5D011713"/>
    <w:rsid w:val="5E070C16"/>
    <w:rsid w:val="5F7B1AC3"/>
    <w:rsid w:val="61621DAE"/>
    <w:rsid w:val="62DB47B4"/>
    <w:rsid w:val="670A38BA"/>
    <w:rsid w:val="691B0000"/>
    <w:rsid w:val="6A1B2C2C"/>
    <w:rsid w:val="6B3674A7"/>
    <w:rsid w:val="6B8E2B3C"/>
    <w:rsid w:val="6BBD4D38"/>
    <w:rsid w:val="6C3B47F6"/>
    <w:rsid w:val="6D3436E0"/>
    <w:rsid w:val="6F664724"/>
    <w:rsid w:val="74E542E3"/>
    <w:rsid w:val="75CB43BD"/>
    <w:rsid w:val="774A636E"/>
    <w:rsid w:val="7A3C5160"/>
    <w:rsid w:val="7A9B1B3A"/>
    <w:rsid w:val="7EE84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99"/>
    <w:pPr>
      <w:autoSpaceDE w:val="0"/>
      <w:autoSpaceDN w:val="0"/>
      <w:adjustRightInd w:val="0"/>
      <w:snapToGrid w:val="0"/>
      <w:spacing w:line="588" w:lineRule="atLeast"/>
    </w:pPr>
    <w:rPr>
      <w:rFonts w:ascii="宋体" w:hAnsi="宋体" w:eastAsia="仿宋_GB2312" w:cs="Times New Roman"/>
      <w:spacing w:val="-2"/>
      <w:sz w:val="32"/>
      <w:szCs w:val="24"/>
    </w:rPr>
  </w:style>
  <w:style w:type="paragraph" w:styleId="3">
    <w:name w:val="Date"/>
    <w:basedOn w:val="1"/>
    <w:next w:val="1"/>
    <w:link w:val="15"/>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9">
    <w:name w:val="Hyperlink"/>
    <w:semiHidden/>
    <w:unhideWhenUsed/>
    <w:qFormat/>
    <w:uiPriority w:val="99"/>
    <w:rPr>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正文文本 Char"/>
    <w:basedOn w:val="7"/>
    <w:link w:val="2"/>
    <w:semiHidden/>
    <w:qFormat/>
    <w:uiPriority w:val="99"/>
  </w:style>
  <w:style w:type="character" w:customStyle="1" w:styleId="13">
    <w:name w:val="日期 Char"/>
    <w:basedOn w:val="7"/>
    <w:link w:val="3"/>
    <w:semiHidden/>
    <w:qFormat/>
    <w:uiPriority w:val="99"/>
  </w:style>
  <w:style w:type="character" w:customStyle="1" w:styleId="14">
    <w:name w:val="正文文本 Char1"/>
    <w:basedOn w:val="7"/>
    <w:link w:val="2"/>
    <w:semiHidden/>
    <w:qFormat/>
    <w:locked/>
    <w:uiPriority w:val="99"/>
    <w:rPr>
      <w:rFonts w:ascii="宋体" w:hAnsi="宋体" w:eastAsia="仿宋_GB2312" w:cs="Times New Roman"/>
      <w:spacing w:val="-2"/>
      <w:sz w:val="32"/>
      <w:szCs w:val="24"/>
    </w:rPr>
  </w:style>
  <w:style w:type="character" w:customStyle="1" w:styleId="15">
    <w:name w:val="日期 Char1"/>
    <w:basedOn w:val="7"/>
    <w:link w:val="3"/>
    <w:semiHidden/>
    <w:qFormat/>
    <w:locked/>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3859</Words>
  <Characters>21998</Characters>
  <Lines>183</Lines>
  <Paragraphs>51</Paragraphs>
  <TotalTime>1</TotalTime>
  <ScaleCrop>false</ScaleCrop>
  <LinksUpToDate>false</LinksUpToDate>
  <CharactersWithSpaces>25806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2019-01-07T09:59:00Z</dcterms:created>
  <dc:creator>lenovo</dc:creator>
  <cp:lastModifiedBy>86133</cp:lastModifiedBy>
  <cp:lastPrinted>2020-02-13T01:20:00Z</cp:lastPrinted>
  <dcterms:modified xsi:type="dcterms:W3CDTF">2022-01-20T15:21:56Z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320BA5DCF5D14555BAC06371B79FA9D1</vt:lpwstr>
  </property>
</Properties>
</file>